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Методическое сообщение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Воспитание чувства метроритма  учащегося  на  начальном  этапе  обучения »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Составитель: Невьянцева Е.Ю.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Преподаватель по классу флейты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ДМШ  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Андреева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Нефтеюганск – 2014г.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Генрих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Нейгауз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забывайте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Вначале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слышимое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скрытое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Мерцают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звёзды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потухнет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разгорится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накатывающие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дятла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журавлиные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неравной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сочетании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паузами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обозначает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подчёркивает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происходящих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хлопот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намеревается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простейшего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чижика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пыжика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Разобраться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выучит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пишется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выглядят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произносить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вслух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вполне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четвёртая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непросто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Арифметический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Арифметический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втиснуть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промежуток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восьмые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четверть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обозначенная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попросить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выученное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восьмые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четверть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пойдёт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неровно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прожил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произнесённые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наполненные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переживанием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раз–и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забудется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рождены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интенсивности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Вспомогательным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арифметический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Интенсивность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фундаментом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африканцев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многообразен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постоянен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генофонд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свойством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глубоко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бессознательно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рефлекторно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ближе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доцивилизационной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Экспериментальные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подчеркнули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теснейшую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моторикой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переживается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ощущается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запоминается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пытаются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запомнить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мелодию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запоминают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непроизвольно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сочинять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соответствующий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рождает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превращает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ощущение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бессознательное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протягивает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нельзя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просчитать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моторно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откликаясь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фиксируя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Andante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прогулочного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вполне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Сердечный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ровный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фундаментальный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отталкивается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полагая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называемый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(Beat)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изначально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сердечным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бьётся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равномерно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объясняем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равномерная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пройтись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неизменное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движущиеся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–четверти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равномерно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гнома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деревянных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башмачках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чётко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выстукивая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каблучками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/.  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Главенствующее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принадлежит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четверти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являющемуся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зерном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последующими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слабыми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просчитывание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вслух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подчёркивать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\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\,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являющуюся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громче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\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четыре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\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шёпотом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двухдольного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проговаривание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счёта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подобрать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пульсирующий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аккомпанемент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Слышимый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ритмослогами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ритмоформулами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первоначальных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знаки—звуковые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символы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четверть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восьмая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шестнадцатые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ритмоформулы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заостряют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соотношениях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близости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словотвочества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отстукивать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отведённое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проделывать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фокусы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Вписываясь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сыграть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вписывать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фокусы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удерживать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развалится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вписываться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исчезнет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равносилен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сердечного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пульса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безостановочное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выстраивается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определённая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адекватная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чётко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проговаривая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ритмослогами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одновременным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ладонями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Многократно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повторяемые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ритмоформулы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подкреплённые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ощущениями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сознании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широком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смысле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полноценного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Используемая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Брянская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Панфилова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Кирнарская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Пилипенко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Методическое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сообщение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метроритма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учащегося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начальном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»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Составитель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Невьянцева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Преподаватель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классу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флейты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Андреева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Нефтеюганск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