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Методическое сообщение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Воспитание чувства метроритма  учащегося  на  начальном  этапе  обучения »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Составитель: Невьянцева Е.Ю.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Преподаватель по классу флейты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ДМШ  им.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Андреева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Нефтеюганск – 2014г.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Генрих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Нейгауз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забывайте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Вначале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слышимое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скрытое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Мерцают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звёзды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потухнет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разгорится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накатывающие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дятла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журавлиные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подчёркивает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хлопот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намеревается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простейшего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чижика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пыжика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Разобраться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выглядят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вслух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вполне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длиннее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четвёртая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ясному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втиснуть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промежуток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получилось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восьмые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обозначенная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костыли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выученное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восьмые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неровно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прожил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произнесённые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наполненные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раз–и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забудется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интенсивности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Вспомогательным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арифметический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Интенсивность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фундаментом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африканцев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многообразен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генофонд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бессознательно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рефлекторно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доцивилизационной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подчеркнули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теснейшую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ощущается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пытаются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мелодию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запоминают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непроизвольно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превращает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ощущение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бессознательное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протягивает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моторно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откликаясь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фиксируя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Andante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вполне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фундаментальный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отталкивается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полагая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(Beat)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изначально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бьётся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равномерно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объясняем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равномерная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пройтись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услышать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неизменное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чередование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движущиеся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–четверти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равномерно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гнома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деревянных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башмачках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выстукивая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каблучками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/.  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Главенствующее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принадлежит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являющемуся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зерном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последующими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просчитывание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вслух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подчёркивать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\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\,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являющуюся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\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четыре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\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шёпотом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двухдольного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проговаривание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пульсирующий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аккомпанемент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Слышимый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ритмослогами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ритмоформулами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слуховых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вводятся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знаки—звуковые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восьмая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шестнадцатые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ритмоформулы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заостряют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соотношениях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словотвочества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отстукивать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складывается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отведённое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проделывать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фокусы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Вписываясь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несмотря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фокусы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удерживать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развалится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вписываться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исчезнет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равносилен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пульса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безостановочное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выстраивается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определённая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проговаривая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ритмослогами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одновременным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ладонями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держа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Многократно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ритмоформулы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подкреплённые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ощущениями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сознании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полноценного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Используемая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Брянская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Никольская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Панфилова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Кирнарская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Пилипенко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Азбука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Методическое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сообщение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метроритма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учащегося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начальном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этапе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»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Составитель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Невьянцева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Преподаватель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классу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флейты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Андреева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Нефтеюганск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.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