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AE" w:rsidRPr="00D871AE" w:rsidRDefault="00D871AE" w:rsidP="00D871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D871AE" w:rsidRPr="00D871AE" w:rsidRDefault="00D871AE" w:rsidP="00D8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4" w:tgtFrame="_blank" w:history="1">
        <w:proofErr w:type="spellStart"/>
        <w:r w:rsidRPr="00D8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D8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D8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ирект</w:t>
        </w:r>
        <w:proofErr w:type="spellEnd"/>
      </w:hyperlink>
      <w:hyperlink r:id="rId5" w:tgtFrame="_blank" w:tooltip="esoreiter.ru" w:history="1">
        <w:r>
          <w:rPr>
            <w:rFonts w:ascii="Times New Roman" w:eastAsia="Times New Roman" w:hAnsi="Times New Roman" w:cs="Times New Roman"/>
            <w:noProof/>
            <w:color w:val="CC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" name="Рисунок 3" descr="http://favicon.yandex.net/favicon/www.esoreiter.ru">
                <a:hlinkClick xmlns:a="http://schemas.openxmlformats.org/drawingml/2006/main" r:id="rId5" tgtFrame="_blank" tooltip="esoreiter.ru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favicon.yandex.net/favicon/www.esoreiter.ru">
                        <a:hlinkClick r:id="rId5" tgtFrame="_blank" tooltip="esoreiter.ru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871AE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Президент США встречался</w:t>
        </w:r>
      </w:hyperlink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США встречался с инопланетянами ... Горячая новость 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hyperlink r:id="rId7" w:tgtFrame="_blank" w:history="1">
        <w:r w:rsidRPr="00D871AE">
          <w:rPr>
            <w:rFonts w:ascii="Times New Roman" w:eastAsia="Times New Roman" w:hAnsi="Times New Roman" w:cs="Times New Roman"/>
            <w:color w:val="1059B0"/>
            <w:sz w:val="24"/>
            <w:szCs w:val="24"/>
            <w:u w:val="single"/>
            <w:lang w:eastAsia="ru-RU"/>
          </w:rPr>
          <w:t>esoreiter.ru</w:t>
        </w:r>
        <w:proofErr w:type="spellEnd"/>
      </w:hyperlink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gtFrame="_blank" w:tooltip="consultant.ru" w:history="1">
        <w:r>
          <w:rPr>
            <w:rFonts w:ascii="Times New Roman" w:eastAsia="Times New Roman" w:hAnsi="Times New Roman" w:cs="Times New Roman"/>
            <w:noProof/>
            <w:color w:val="CC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" name="Рисунок 4" descr="http://favicon.yandex.net/favicon/www.consultant.ru">
                <a:hlinkClick xmlns:a="http://schemas.openxmlformats.org/drawingml/2006/main" r:id="rId8" tgtFrame="_blank" tooltip="consultant.ru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favicon.yandex.net/favicon/www.consultant.ru">
                        <a:hlinkClick r:id="rId8" tgtFrame="_blank" tooltip="consultant.ru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871AE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Приказы Президента РФ</w:t>
        </w:r>
      </w:hyperlink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приказы Президента РФ! Своевременно на Ваш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КонсультантПлюс.</w:t>
      </w:r>
      <w:hyperlink r:id="rId10" w:tgtFrame="_blank" w:history="1">
        <w:r w:rsidRPr="00D871AE">
          <w:rPr>
            <w:rFonts w:ascii="Times New Roman" w:eastAsia="Times New Roman" w:hAnsi="Times New Roman" w:cs="Times New Roman"/>
            <w:color w:val="1059B0"/>
            <w:sz w:val="24"/>
            <w:szCs w:val="24"/>
            <w:u w:val="single"/>
            <w:lang w:eastAsia="ru-RU"/>
          </w:rPr>
          <w:t>consultant.ru</w:t>
        </w:r>
        <w:proofErr w:type="spellEnd"/>
      </w:hyperlink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направляет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1523"/>
      </w:tblGrid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</w:p>
        </w:tc>
      </w:tr>
    </w:tbl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назначение Рекомендаций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ООО)*(1),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</w:t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могут быть адаптированы к специфике конкретных образовательных учреждений, уровню их финансирования,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образования*(2),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канцелярские принадлежности.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процесса должно обеспечивать возможность: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деятельности;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включения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и учебно-исследовательскую деятельность;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проектирования и конструирования, управления объектами, программирования;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создания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и информационных объектов.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основания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Рекомендации разработаны в соответствии со ст. 7 Закона РФ "Об образовании"*(3),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помещений*(4), санитарно-эпидемиологическими требованиями к условиям и организации обучения в общеобразовательных учреждениях*(5), федеральными требованиями к образовательным учреждениям в части охраны здоровья обучающихся, воспитанников*(6), ГОСТ 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52653-2006 "Информационно-коммуникационные технологии в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Термины и определения", ГОСТ 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53626-2009 "Информационно-коммуникационные технологии в образовании. Технические средства обучения. Общие положения",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применения Рекомендаций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оснащения и оборудования образовательного процесса.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Комплектно-модульное построение оснащения общеобразовательного учреждения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оснащение образовательного учреждения обеспечивают три взаимосвязанных комплекта: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общешкольное оснащение;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оснащение предметных кабинетов;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общеобразовательного учреждения, реализующего основную образовательную программу основного общего образования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Оснащение образовательного учреждения должно формироваться на основе следующих принципов: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возрастных психолого-педагогических особенностей обучающихся;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комплектность и модульность, позволяющие реализовать различные основные образовательные программы с учетом реальных особенностей образовательных </w:t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эргономичного режима работы участников образовательного процесса;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санитарно-эпидемиологическим правилам и нормативам, гигиеническим требованиям, требованиям пожарной и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охраны здоровья обучающихся и охраны труда работников образовательных учреждений.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Совокупность комплектов оснащения должна обеспечивать возможность: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современных образовательных технологий в учебной и внеурочной деятельности;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безопасного доступа к печатным и электронным образовательным ресурсам, расположенным в открытом доступе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 федеральных и региональных центрах информационно-образовательных ресурсов;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образовательным процессом;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электронные таблицы, тексты и презентации;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отрабатывать навыки клавиатурного письма;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создавать, обрабатывать и редактировать звук;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создавать, обрабатывать и редактировать растровые, векторные и видеоизображения;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геоинформационными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картографической информацией, планами объектов и местности;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визуализировать исторические данные (создавать ленты времени и др.);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деятельности учителя и учащегося должна обеспечивать возможность: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динамические компьютерные модели объектов и процессов;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виртуальные эксперименты и анализ полученных при этом результатов;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гипотезы, объясняющие ход исследуемых процессов;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Общешкольное оснащение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общешкольному оснащению относится оборудование, не закрепленное за предметными кабинетами, использующееся в многопредметных и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</w:t>
      </w: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читальный зал библиотеки и 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рекомендации по оснащению учебных кабинетов для основной ступени общего образования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измерительные приборы существенно расширяют эффективность школьных лабораторных работ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учителя, и значительное число других экспериментов.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средства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Рекомендуемое оснащение учебных кабинетов для основной ступени общего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939"/>
        <w:gridCol w:w="2115"/>
        <w:gridCol w:w="1938"/>
        <w:gridCol w:w="2079"/>
        <w:gridCol w:w="206"/>
        <w:gridCol w:w="645"/>
        <w:gridCol w:w="65"/>
        <w:gridCol w:w="80"/>
      </w:tblGrid>
      <w:tr w:rsidR="00D871AE" w:rsidRPr="00D871AE" w:rsidTr="00D871AE">
        <w:trPr>
          <w:gridAfter w:val="4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оборудования, входящего в модуль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автоматизированного рабочего места</w:t>
            </w:r>
          </w:p>
        </w:tc>
      </w:tr>
      <w:tr w:rsidR="00D871AE" w:rsidRPr="00D871AE" w:rsidTr="00D871AE">
        <w:trPr>
          <w:gridAfter w:val="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D871AE" w:rsidRPr="00D871AE" w:rsidTr="00D871AE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технические средства обучения</w:t>
            </w: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программно-аппаратный комплекс педагога (СПАК)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СПАК является составной частью информационно-образовательной среды образовательного учреждения, обеспечивает решение профессиональных задач педагога с применением информационно-коммуникационных технологий (ИКТ). СПАК должен обеспечивать сетевое взаимодействие всех участников образовательного процесса. Все технические средств СПАК должны быть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скоммутированы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СПАК включает: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Интерактивное оборудование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Интерактивная доска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Проектор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Визуализатор цифровой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Оборудование для тестирования качества знаний обучающихся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Копировально-множительная техника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Печатное, копировальное, сканирующие устройства (отдельные элементы или в виде многофункционального устройства, в соответствии с целями и задачами использования оборудования в образовательном процессе)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Прочее оборудование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и программное обеспечение компьютера должно обеспечивать: управление учебным процессом; создание и редактирование электронных таблиц, текстов и презентаций; создание, обработку и редактирование звука; создание, обработку и редактирование растровых, векторных и видеоизображений;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и редактирование интерактивных учебных материалов, образовательных ресурсов, творческих работ со статическими и динамическими графическими и текстовыми объектами; работу с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геоинформационными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системами, картографической информацией, планами объектов и местности;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визуализирование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данных (создание ленты времени и др.); возможность размещения, систематизирования и хранения (накапливания) материалов образовательного процесса; проведение мониторинга и фиксацию хода учебного процесса и результатов освоения основной образовательной программы общего образования; проведение различных видов и форм контроля знаний, умений и навыков, осуществление адаптивной (дифференцированной) подготовки к государственной (итоговой)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аттестации; осуществление взаимодействия между участниками учебного процесса, в том числе дистанционное (посредством локальных и глобальных сетей), использование данных, формируемых в ходе учебного процесса для решения задач управления образовательной деятельностью; возможность безопасного доступа к печатным и электронным образовательным ресурсам и пр. Программное обеспечение компьютеров педагога и обучающихся должно иметь одинаковый интерфейс.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оборудование предназначено для визуализации учебного материала, полученного с цифровых и нецифровых носителей, на интерактивном экране, сохранения результатов образовательного процесса и образовательных достижений (в том числе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обучающихся.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Копировально-множительная техника предназначена для тиражирования учебного материала, сохранения в цифровом формате результатов образовательного процесса и образовательных достижений (формирование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обучающихся.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 включает фот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и(или) видеотехнику, гарнитуру, устройства для коммутации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программно-аппаратный комплекс 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(СПАК)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СПАК является составной частью информационно-образовательной среды образовательного учреждения, обеспечивает решение учебно-познавательных задач обучающихся с применением информационно-коммуникационных технологий (ИКТ). СПАК должен обеспечивать сетевое взаимодействие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участников образовательного процесса. Все технические средства СПАК должны быть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скоммутированы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 на 1 чел.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СПАК включает: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Персональный или мобильный компьютер (ноутбук) с предустановленным программным обеспечением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Прочее оборудование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и программное обеспечение компьютера должно обеспечивать: управление учебным процессом; создание и редактирование электронных таблиц, текстов и презентаций; создание, обработку и редактирование звука; создание, обработку и редактирование растровых, векторных и видеоизображений; создание и редактирование интерактивных учебных материалов, образовательных ресурсов, творческих работ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статическими и динамическими графическими и текстовыми объектами; работу с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геоинформационными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системами, картографической информацией, планами объектов и местности;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визуализирование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исторических данных (создание ленты времени и др.); возможность размещения, систематизирования и хранения (накапливания) материалов образовательного процесса; проведение мониторинга и фиксацию хода учебного процесса и результатов освоения основной образовательной программы общего образования; проведение различных видов и форм контроля знаний, умений и навыков, осуществление адаптивной (дифференцированной) подготовки к государственной (итоговой) аттестации; осуществление взаимодействия между участниками учебного процесса, в том числе дистанционное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(посредством локальных и глобальных сетей) использование данных, формируемых в ходе учебного процесса, для решения задач управления образовательной деятельностью; возможность безопасного доступа к печатным и электронным образовательным ресурсам и пр. Программное обеспечение компьютеров педагога и обучающихся должно иметь одинаковый интерфейс. Прочее оборудование включает фот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и(или) видеотехнику, гарнитуры,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веб-камеры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графические планшеты, устройства для коммутации оборудования, устройства для организации локальной беспроводной сети и пр.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платформа для перемещения, хранения и подзарядки портативных компьютеров, прочего учебного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платформа обеспечивает 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межпредметное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межкабинетное</w:t>
            </w:r>
            <w:proofErr w:type="spell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использование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лабораторное и демонстрационное оборудование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цифровая лабораторная учебная техника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представлена в виде полнофункционального мобильного 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стационарного лабораторного комплекса (комплексов), предназначенного для организации учебной, учебно-исследовательской и проектной деятельности, для формирования у обучающихся навыков цифрового измерения результатов проведения натурных экспериментов в пределах учебного помещения и вне его.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цифровая лабораторная учебная техника включает: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Комплект цифрового измерительного оборудования для проведения естественнонаучных экспериментов.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Цифровой микроскоп.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Комплект лабораторных приборов и инструментов, микропрепаратов и пр.,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корректную постановку экспериментов, наблюдений, опытов с использованием цифровой лабораторной учебной техники.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комплект демонстрационного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комплекту оборудования на 4-6 чел.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традиционная лабораторная учебная техника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наборами традиционных лабораторных приборов, используемых обучающимися при постановке экспериментов, наблюдений, опытов по программам учебных предметов и внеурочной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 демонстрационного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комплекту оборудования на 4-6 чел.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техника для отработки практических действий и навыков, проектирования и конструирования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наборами конструкторов, робототехники, тренажерами и пр., предназначенными для моделирования, технического творчества и проектной деятельности, отработки практических навыков в области безопасности жизнедеятельности, трудовых навыков и пр.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комплекту оборудования на 4-6 чел.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наглядные пособия по предметам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по предметам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быть представлены учебной техникой, обеспечивающей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визуально-звуковое представление объекта изучения.</w:t>
            </w:r>
          </w:p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по предметам включают: электронные образовательные ресурсы (ЭОР), а также традиционные: объемные пособия - макеты, модели, слепки, муляжи, глобусы и т.д.; плоскостные пособия - таблицы, картины, фотографии, карты, схемы, чертежи и т.п.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комплект демонстрационного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одному комплекту оборудования на одного или группу </w:t>
            </w:r>
            <w:proofErr w:type="gramStart"/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информационно-методическая поддержка педагогического работника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педагогического работника по использованию комплекта или отдельных компонентов комплекта в 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должны содержать руководство пользователя по подключению, наладке комплекта или отдельных модулей комплекта, описание конструктивных особенностей и технологии работы с оборудованием, примеры практической работы с оборудованием, описание порядка постановки экспериментов с использованием оборудования и пр.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E" w:rsidRPr="00D871AE" w:rsidTr="00D87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(модули, курсы) повышения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педагогических работников по использованию комплекта или отдельных компонентов комплекта в 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Разработанные программы (модули, курсы) </w:t>
            </w:r>
            <w:r w:rsidRPr="00D87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могут являться частью программ повышения квалификации, обеспечивающих в соответствии с требованиями ФГОС ООО непрерывность профессионального развития педагогических работников образовательного учреждения, в объеме не менее 108 часов и не реже одного раза в пять лет</w:t>
            </w: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AE" w:rsidRPr="00D871AE" w:rsidRDefault="00D871AE" w:rsidP="00D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Оснащение, обеспечивающее организацию внеурочной деятельности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моделирование, техническое творчество и проектную деятельность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деятельности обучающихся должны использоваться новые информационные технологии: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</w:t>
      </w:r>
      <w:proofErr w:type="gram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обеспечена необходимыми расходными материалами.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 г., регистрационный N 19644.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ФГОС ООО, раздел IV "Требования к условиям реализации основных образовательных программ основного общего образования".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Закон Российской Федерации от 10 июля 1992 года N 3266-I "Об образовании" (в действующей редакции).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 г. N 986, зарегистрированы в Минюсте России 3 марта 2011 г., регистрационный N 19682).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 N 189, зарегистрированы в Минюсте России 3 марта 2011 г., регистрационный N 19993).</w:t>
      </w:r>
    </w:p>
    <w:p w:rsidR="00D871AE" w:rsidRPr="00D871AE" w:rsidRDefault="00D871AE" w:rsidP="00D8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 г. N 2106, зарегистрированы в Минюсте России 2 февраля 2011 г., регистрационный N 19676).</w:t>
      </w:r>
    </w:p>
    <w:p w:rsidR="00A2303D" w:rsidRDefault="00A2303D"/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AE"/>
    <w:rsid w:val="007A3B3B"/>
    <w:rsid w:val="00A2303D"/>
    <w:rsid w:val="00D30E09"/>
    <w:rsid w:val="00D8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paragraph" w:styleId="1">
    <w:name w:val="heading 1"/>
    <w:basedOn w:val="a"/>
    <w:link w:val="10"/>
    <w:uiPriority w:val="9"/>
    <w:qFormat/>
    <w:rsid w:val="00D8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1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1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846HSHTneH040000Zhrih385XPRJ4vK2cm5kGxS2Am4oYBtiIWC7YQO2i1MOI9wq0G0019sI0GEMlklmAG6wznEf3cPMQ4q3feC9YgiEtJgzgZo0Jge1fPy6Yv6nukNU0e-oVbw40P-zbfp_3vELn0APN4ACa742e93Y1A-GSGAKdWimfvu90QYmG5bp1wJ0000020IiBgxwyWEQ-dS7zGIn0RA04BcI0GExwGTqE6Kmm95_5000?test-tag=67105&amp;stat-id=10737418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.yandex.ru/count/846HSOjA_Oy40000Zhrih385XPRJ4vK2cm5kGxS2Am68iwvhimQ9dj4Zc2MUj04000ITfAEl0PQ-w_0f0Rht4waEPbPeJGEcVegW2qRhlRWJOoa1gW6bgw_q0f6nukNU0e-oVbw40P-zbfp_3vELn0APN4ACa742e91n0g-GSGAKaKORfvwP0wYWdpiHfC0000081Amkhlho0vhwTmVr1B41ie0GkQIZhm6xwGTqE6Kmm95_5000?test-tag=67105&amp;stat-id=10737418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n.yandex.ru/count/846HSOjA_Oy40000Zhrih385XPRJ4vK2cm5kGxS2Am68iwvhimQ9dj4Zc2MUj04000ITfAEl0PQ-w_0f0Rht4waEPbPeJGEcVegW2qRhlRWJOoa1gW6bgw_q0f6nukNU0e-oVbw40P-zbfp_3vELn0APN4ACa742e91n0g-GSGAKaKORfvwP0wYWdpiHfC0000081Amkhlho0vhwTmVr1B41ie0GkQIZhm6xwGTqE6Kmm95_5000?test-tag=67105&amp;stat-id=1073741844" TargetMode="External"/><Relationship Id="rId10" Type="http://schemas.openxmlformats.org/officeDocument/2006/relationships/hyperlink" Target="http://an.yandex.ru/count/846HSHTneH040000Zhrih385XPRJ4vK2cm5kGxS2Am4oYBtiIWC7YQO2i1MOI9wq0G0019sI0GEMlklmAG6wznEf3cPMQ4q3feC9YgiEtJgzgZo0Jge1fPy6Yv6nukNU0e-oVbw40P-zbfp_3vELn0APN4ACa742e93Y1A-GSGAKdWimfvu90QYmG5bp1wJ0000020IiBgxwyWEQ-dS7zGIn0RA04BcI0GExwGTqE6Kmm95_5000?test-tag=67105&amp;stat-id=1073741844" TargetMode="External"/><Relationship Id="rId4" Type="http://schemas.openxmlformats.org/officeDocument/2006/relationships/hyperlink" Target="http://direct.yandex.ru/?partner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4882</Words>
  <Characters>27833</Characters>
  <Application>Microsoft Office Word</Application>
  <DocSecurity>0</DocSecurity>
  <Lines>231</Lines>
  <Paragraphs>65</Paragraphs>
  <ScaleCrop>false</ScaleCrop>
  <Company>HOME</Company>
  <LinksUpToDate>false</LinksUpToDate>
  <CharactersWithSpaces>32650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2014-03-20T10:45:00Z</dcterms:created>
  <dcterms:modified xsi:type="dcterms:W3CDTF">2014-03-20T10:46:00Z</dcterms:modified>
</cp:coreProperties>
</file>