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CA" w:rsidRPr="000371CA" w:rsidRDefault="000371CA" w:rsidP="000371CA">
      <w:pPr>
        <w:shd w:val="clear" w:color="auto" w:fill="E6E6FA"/>
        <w:spacing w:before="175" w:after="125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</w:rPr>
      </w:pPr>
      <w:r w:rsidRPr="000371CA"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</w:rPr>
        <w:t>Я не такой как все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        Почему все люди на земле праворукие, и только часть из них - другие, не такие, как все. Они пишут, едят и выполняют различные действия левой рукой. Так им удобнее, легче, сподручнее…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Но, именно поэтому, так волнуются родители, заметив, что их ребенок – левша:</w:t>
      </w:r>
    </w:p>
    <w:p w:rsidR="000371CA" w:rsidRPr="000371CA" w:rsidRDefault="000371CA" w:rsidP="000371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Отчего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леворукие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?</w:t>
      </w:r>
    </w:p>
    <w:p w:rsidR="000371CA" w:rsidRPr="000371CA" w:rsidRDefault="000371CA" w:rsidP="000371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Как определить, действительно ли ребенок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?</w:t>
      </w:r>
    </w:p>
    <w:p w:rsidR="000371CA" w:rsidRPr="000371CA" w:rsidRDefault="000371CA" w:rsidP="000371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Нужно ли переучивать ребенка или стоит довериться природе и дать ему самому возможность развиваться так, как он развивается, и работать той рукой, какой удобнее и легче?</w:t>
      </w:r>
    </w:p>
    <w:p w:rsidR="000371CA" w:rsidRPr="000371CA" w:rsidRDefault="000371CA" w:rsidP="000371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Правда ли, что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леворукие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обладают необыкновенными талантами</w:t>
      </w:r>
    </w:p>
    <w:p w:rsidR="000371CA" w:rsidRPr="000371CA" w:rsidRDefault="000371CA" w:rsidP="000371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Действительно ли они «другие», «особенные»? В чем проявляются эти особенности?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    Вот вопросы, которые волнуют родителей.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   «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Леворукость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» — это предпочтительное активное использование левой руки, то есть внешнее проявление того, что по каким-то причинам правое полушарие мозга взяло на себя (временно или навсегда) главную, ведущую роль в обеспечении произвольных движений человека.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</w:t>
      </w: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2369185" cy="2854325"/>
            <wp:effectExtent l="19050" t="0" r="0" b="0"/>
            <wp:docPr id="1" name="Рисунок 1" descr="лев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ш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   Возникновение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:</w:t>
      </w:r>
    </w:p>
    <w:p w:rsidR="000371CA" w:rsidRPr="000371CA" w:rsidRDefault="000371CA" w:rsidP="000371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Генетическая предрасположенность: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- вероятность рождения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леворукого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ребенка у праворуких родителей всего 2%, вероятность возрастает до 17%, если один родитель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леворукий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, и до 46%, если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оба родителя;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 2. Патологическая (компенсаторная)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леворукость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, как следствие нарушения в развитии мозга. Прослеживается определенная зависимость между отклонениями в протекании беременности и родов (низкая масса тела новорожденного, слишком быстрые или, наоборот, затянувшиеся роды, применение инструментов при родовспоможении, асфиксия новорожденного, травмы и ряд других факторов) и появлением на свет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леворуких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детей.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 3. Временное предпочтение левой руки.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У современных детей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леворукость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, иногда, оказывается временным, латентным признаком. Он отражает всего лишь факт задержки формирования у ребенка межполушарных взаимодействий и закрепления специализации, временное доминирование левого полушария мозга (правой руки) относительно всех двигательных функций (еда, пользование бытовыми приборами, рисунок, письмо и т.п.). По мере наращивания функционального потенциала левого полушария в таких случаях происходит «волшебное превращение» левши в правшу.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 4. Вынужденная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леворукость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: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- бытовые травмы, нарушения нервно-мышечной регуляции в раннем детстве, особенно в период, когда идет интенсивное формирование двигательных функций, не дающие в полной мере использовать правую руку, могут стать причиной предпочтительного использования левой руки, ее </w:t>
      </w:r>
      <w:r w:rsidRPr="000371CA">
        <w:rPr>
          <w:rFonts w:ascii="Tahoma" w:eastAsia="Times New Roman" w:hAnsi="Tahoma" w:cs="Tahoma"/>
          <w:color w:val="4B4B4B"/>
          <w:sz w:val="20"/>
          <w:szCs w:val="20"/>
        </w:rPr>
        <w:lastRenderedPageBreak/>
        <w:t>усиленной тренировки. Так левая рука может стать более активной, ребенку становится удобнее ею работать.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-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леворукость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формируется путем подражания деятельности взрослых или сверстников. Возникает «ненасильственное» переучивание. Порой левши в окружении правшей начинают более активно действовать правой рукой. Но бывает и наоборот — праворукие становятся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леворукими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   В последние годы многие исследователи склоняются к тому, что в основе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— комплексное сочетание патологических, генетических и социальных факторов.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Леворукие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дети — неоднородная группа. Проявление тех или иных нарушений в развитии связано с преобладанием какого-либо фактора в развитии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 Например, у детей с компенсаторной (патологической)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леворукостью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можно ожидать проявления нарушений речевого развития, у детей с вынужденной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леворукостью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— снижения адаптивных возможностей, проявления повышенной возбудимости, тревожности,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неврозоподобных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расстройств.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   Своеобразие работы головного мозга (?) у левшей провоцирует появления у них аллергий, тиков,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энуреза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, страхов и бессонницы, эндокринных отклонений и особенностей полового созревания.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 Если любой ребенок требует к себе внимания в этом смысле, то левша — втрое больше.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</w:t>
      </w: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2258060" cy="2027555"/>
            <wp:effectExtent l="19050" t="0" r="8890" b="0"/>
            <wp:docPr id="2" name="Рисунок 2" descr="http://kroxaland.ru/wp-content/uploads/2017/03/levsh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oxaland.ru/wp-content/uploads/2017/03/levsha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      У левшей наблюдаются искажения, своеобразные задержки и диспропорции формирования различных психических функций: речи (устной и письменной), чтения, счета, конструктивных процессов, эмоций и т.п. Кроме того, они являются «группой риска» в плане возникновения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логоневрозов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(заикания), нарушение поведения (повышенная эмоциональная возбудимость, раздражительность, двигательная расторможенность, робость, застенчивость, заторможенность), прочие проявления недостаточности аффективно - волевой сферы.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 Как правило, проблемы остро проявляют себя имения в тот момент, когда начинается углубленная подготовка к учебному процессу. Это не значит, что они появляются в этот период. Просто раньше перед ребенком не вставали задачи такой сложности, как овладение письмом, чтением, счетом, необходимость сосредоточенно «высиживать урок», соответствовать всем школьным правилам.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 Просто многое было завуалированным, не столь очевидным. Особенно в тех семьях, где особенности и не всегда приятное «своеобразие» поведения ребенка стараются не замечать и всеми возможными способами оправдать.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 Нередко на первых этапах отклоняющегося развития (в 4—6 лет) большинство проблем (поведенческих, коммуникативных или связанных с конкретными трудностями при письме, чтении, арифметике) достаточно быстро нивелируется. Особенно когда речь идет о принципиально здоровых детях, которые не требуют направленного лечения у невропатолога или психиатра и до этого периода никак не проявляли какого-то грубого отставания от сверстников. Среди таких детей около 70% составляют левши.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 Описывая левшей, нельзя не подчеркнуть и ряд их специфических особенностей в сравнении с правшами. Наряду с отставанием от правшей по целому ряду параметров психического развития левши обнаруживают больший словарный запас, большую общую информированность и эрудицию, более высокие достижения в математике. Дети - левши, как правило, со всеми интеллектуальными заданиями справляются намного лучше своих сверстников. Только не торопите ребенка, дайте ему время «войти» в задачу, выбрать оптимальный вариант ее решения, а уж затем оценивайте его </w:t>
      </w:r>
      <w:r w:rsidRPr="000371CA">
        <w:rPr>
          <w:rFonts w:ascii="Tahoma" w:eastAsia="Times New Roman" w:hAnsi="Tahoma" w:cs="Tahoma"/>
          <w:color w:val="4B4B4B"/>
          <w:sz w:val="20"/>
          <w:szCs w:val="20"/>
        </w:rPr>
        <w:lastRenderedPageBreak/>
        <w:t>успехи. Ребенок  - левша по типу своей мозговой организации имеет право на некоторую замедленность любого двигательного процесса, в том числе речевого. Его мозгу необходимо некоторое время для запуска любой разворачивающейся во времени и пространстве деятельности.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 Среди них много артистически и художественно одаренных. При исследовании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креативности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мышления (способности к творческим решениям) показатели оказались значимо более высокими у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леворуких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по сравнению с правшами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 Считается, что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леворукие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— люди творческие, эмоциональные.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Леворукими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были такие известные люди, как математик Пифагор и известный древнегреческий ученый Аристотель, великие художники Микеланджело, Рафаэль, Леонардо да Винчи.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Леворукими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были Ньютон и Наполеон, Эйнштейн и Чаплин, Черчилль и Пикассо. Билл Гейтс, Джулия Роберте и многие другие.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071B5D"/>
          <w:sz w:val="20"/>
          <w:szCs w:val="20"/>
        </w:rPr>
        <w:drawing>
          <wp:inline distT="0" distB="0" distL="0" distR="0">
            <wp:extent cx="4364990" cy="6090920"/>
            <wp:effectExtent l="19050" t="0" r="0" b="0"/>
            <wp:docPr id="3" name="Рисунок 3" descr="Иллюстрация 9 из 27 для Великие левши в истории мира - Эд Райт | Лабиринт - книги. Источник: Елена Весна">
              <a:hlinkClick xmlns:a="http://schemas.openxmlformats.org/drawingml/2006/main" r:id="rId7" tooltip="&quot;Иллюстрация 9 из 27 для Великие левши в истории мира - Эд Райт | Лабиринт - книги. Источник: Елена Вес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 9 из 27 для Великие левши в истории мира - Эд Райт | Лабиринт - книги. Источник: Елена Весна">
                      <a:hlinkClick r:id="rId7" tooltip="&quot;Иллюстрация 9 из 27 для Великие левши в истории мира - Эд Райт | Лабиринт - книги. Источник: Елена Вес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609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CA" w:rsidRPr="000371CA" w:rsidRDefault="000371CA" w:rsidP="000371CA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 Определение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леворукости</w:t>
      </w:r>
      <w:proofErr w:type="spellEnd"/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 В каком возрасте нужно определять ведущую руку? Специалисты считают, что целесообразно делать это в 4-5 лет. В возрасте 4-5 лет формируется стойкое предпочтение одной из рук.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 Приведем наиболее типичные тесты.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- «Переплетение пальцев рук». Предложите ребенку сложить руки в замок. Тест должен выполняться быстро, без подготовки. Считается, что у правшей сверху ложится большой палец правой руки, у левшей — левой.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lastRenderedPageBreak/>
        <w:t> </w:t>
      </w: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2313940" cy="1987550"/>
            <wp:effectExtent l="19050" t="0" r="0" b="0"/>
            <wp:docPr id="4" name="Рисунок 4" descr="Переплетение пальцев ру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плетение пальцев рук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- «Поза Наполеона» — складывание рук на уровне груди. Принято считать, что у правшей правая кисть лежит сверху на левом предплечье.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2838450" cy="1837055"/>
            <wp:effectExtent l="19050" t="0" r="0" b="0"/>
            <wp:docPr id="5" name="Рисунок 5" descr="Поза Наполео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за Наполеона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- «Одновременные действия обеих рук» — рисование круга, квадрата, треугольника. Движения, выполняемые ведущей рукой, могут быть более медленными, но более точными. Линии фигур, нарисованные ведущей рукой, — более четкие, ровные, меньше выражен тремор (дрожание руки), углы не сглажены, точки соединения не расходятся. Некоторые исследователи рекомендуют выполнять это задание с закрытыми глазами, тогда есть возможность более четко выделить нарушение формы, пропорций фигуры, которая рисуется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неведущей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рукой.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- «Скорость движений и сила ведущей руки больше, чем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неведущей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». Для оценки скорости можно использовать число простукиваний указательным пальцем за 10 секунд или число точек (касаний ручкой плоскости листа). Задание выполняется трижды, затем рассчитывается среднее значение.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  Силу каждой руки необходимо измерить три раза ручным динамометром и рассчитать среднее значение. Ведущей считается рука, превосходящая по силе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неведущую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на 2 кг.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 Широко используется система тестов, разработанная М.Г. Князевой и В.Ю.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Вильдавским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 Эта система включает игровые задания, подобранные с учетом способов манипулирования, действия с предметами, свойственных детям дошкольного и младшего школьного возраста. Для того, чтобы результаты тестирования были объективными, необходимо соблюдать следующие условия:</w:t>
      </w:r>
    </w:p>
    <w:p w:rsidR="000371CA" w:rsidRPr="000371CA" w:rsidRDefault="000371CA" w:rsidP="000371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Ребенок не должен знать, что вы что-то проверяете, поэтому предложите ему позаниматься или поиграть.</w:t>
      </w:r>
    </w:p>
    <w:p w:rsidR="000371CA" w:rsidRPr="000371CA" w:rsidRDefault="000371CA" w:rsidP="000371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Это должна быть игра по правилам: взрослый должен сидеть строго напротив ребенка, а все приспособления, пособия, предметы следует класть перед ребенком на середину стола, на равном расстоянии от правой и левой руки. Лучше, если коробочки, бусины, мяч, ножницы и т. п. будут разложены рядом со столом на низком столике, чтобы ребенок не видел их, не отвлекался.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 Ребенку предлагается выполнить 10 заданий:</w:t>
      </w:r>
    </w:p>
    <w:p w:rsidR="000371CA" w:rsidRPr="000371CA" w:rsidRDefault="000371CA" w:rsidP="000371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рисование поочередно одной и другой рукой,</w:t>
      </w:r>
    </w:p>
    <w:p w:rsidR="000371CA" w:rsidRPr="000371CA" w:rsidRDefault="000371CA" w:rsidP="000371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открывания небольшой коробочки (спичечного коробка);</w:t>
      </w:r>
    </w:p>
    <w:p w:rsidR="000371CA" w:rsidRPr="000371CA" w:rsidRDefault="000371CA" w:rsidP="000371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постройка колодца из палочек;</w:t>
      </w:r>
    </w:p>
    <w:p w:rsidR="000371CA" w:rsidRPr="000371CA" w:rsidRDefault="000371CA" w:rsidP="000371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игра в мяч, который нужно бросать и ловить одной рукой;</w:t>
      </w:r>
    </w:p>
    <w:p w:rsidR="000371CA" w:rsidRPr="000371CA" w:rsidRDefault="000371CA" w:rsidP="000371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вырезание ножницами рисунка по контуру;</w:t>
      </w:r>
    </w:p>
    <w:p w:rsidR="000371CA" w:rsidRPr="000371CA" w:rsidRDefault="000371CA" w:rsidP="000371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нанизывание бисера или пуговиц на иголку с ниткой или шнурок;</w:t>
      </w:r>
    </w:p>
    <w:p w:rsidR="000371CA" w:rsidRPr="000371CA" w:rsidRDefault="000371CA" w:rsidP="000371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lastRenderedPageBreak/>
        <w:t>выполнение вращательных движений (ребенка просят открыть несколько флаконов, баночек (2-3 штуки) с завинчивающимися крышками;</w:t>
      </w:r>
    </w:p>
    <w:p w:rsidR="000371CA" w:rsidRPr="000371CA" w:rsidRDefault="000371CA" w:rsidP="000371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развязывание узелков;</w:t>
      </w:r>
    </w:p>
    <w:p w:rsidR="000371CA" w:rsidRPr="000371CA" w:rsidRDefault="000371CA" w:rsidP="000371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построить из кубиков дом, ограду, собрать мозаику с конкретным заданием.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071B5D"/>
          <w:sz w:val="20"/>
          <w:szCs w:val="20"/>
        </w:rPr>
        <w:drawing>
          <wp:inline distT="0" distB="0" distL="0" distR="0">
            <wp:extent cx="3045460" cy="2377440"/>
            <wp:effectExtent l="19050" t="0" r="2540" b="0"/>
            <wp:docPr id="6" name="Рисунок 6" descr="http://cs622217.vk.me/v622217853/3646f/ECTLHjNVjC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2217.vk.me/v622217853/3646f/ECTLHjNVjC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   Ведущей рукой следует считать ту, которая выполняет более активное действие.</w:t>
      </w:r>
    </w:p>
    <w:p w:rsidR="000371CA" w:rsidRPr="000371CA" w:rsidRDefault="000371CA" w:rsidP="000371CA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 О переучивании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  Многие изменения возникают, провоцируются или усиливаются в результате неквалифицированного переобучения левшей для выполнения действий правой рукой в дошкольном или раннем школьном возрасте.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 Использование при различных видах деятельность левой и правой рук — не прихоть человека, не желание его или окружающих. Это, прежде всего, отражение мозговой организации психической деятельности человека,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 С природными особенностями человека шутить нельзя.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Рукость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(то есть преимущественная активность правой или левой руки) являете одним из важнейших нейробиологических свойств, весьма индивидуализированных. Ее нельзя изменять по своей усмотрению, так как любое вмешательство, тем более некомпетентное, приводит к непредсказуемым последствиям, которые могут проявиться не сразу, а через несколько лет.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 Не надо стараться подогнать ребенка - левшу под общеизвестные правила: пусть он делает все (кроме написания букв, цифр, т.д.) той рукой, какой ему удобнее. А самое лучшее — при рисовании, в игре давайте ему карандаши, игрушки в обе руки, развивая и правую, и левую. Дайте возможность его мозгу самому разобраться в спорных аспектах собственной компетентности.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 Вопрос о «смене руки» может положительно решаться только в том случае, если ребенка переучивали, и он привык пользоваться правой рукой, но еще не учился в школе, не начинал систематически писать. Или, в крайних случаях, в самые первые школьные дни!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1288415" cy="1471295"/>
            <wp:effectExtent l="19050" t="0" r="6985" b="0"/>
            <wp:docPr id="7" name="Рисунок 7" descr="http://1.bp.blogspot.com/_XV45BHRq4Qo/THaKTSczvpI/AAAAAAAAAOs/ZoCdt5Ady04/s1600/%D0%9B%D0%B5%D0%B2%D1%88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XV45BHRq4Qo/THaKTSczvpI/AAAAAAAAAOs/ZoCdt5Ady04/s1600/%D0%9B%D0%B5%D0%B2%D1%88%D0%B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 Вопросы переучивания могут решаться только совместно с высокопрофессиональным специалистом!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 Психическое развитие левшей - одна из актуальнейших проблем в специальной и возрастной психологии, педагогике, дефектологии.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 Наиболее планомерно и последовательно этот вопрос рассматривается в нейропсихологии – науке о связи работы мозга и психики, мозга и поведения человека, в рамках которой разработаны </w:t>
      </w:r>
      <w:r w:rsidRPr="000371CA">
        <w:rPr>
          <w:rFonts w:ascii="Tahoma" w:eastAsia="Times New Roman" w:hAnsi="Tahoma" w:cs="Tahoma"/>
          <w:color w:val="4B4B4B"/>
          <w:sz w:val="20"/>
          <w:szCs w:val="20"/>
        </w:rPr>
        <w:lastRenderedPageBreak/>
        <w:t xml:space="preserve">методы диагностики, коррекции и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абилитации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(развитие потенциальных возможностей) ребенка. В частности, - метод замещающего онтогенеза как базовая технология, составляющая основу нейропсихологического сопровождения детей.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4B4B4B"/>
          <w:sz w:val="20"/>
          <w:szCs w:val="20"/>
        </w:rPr>
        <w:drawing>
          <wp:inline distT="0" distB="0" distL="0" distR="0">
            <wp:extent cx="1677670" cy="2480945"/>
            <wp:effectExtent l="19050" t="0" r="0" b="0"/>
            <wp:docPr id="8" name="Рисунок 8" descr="Анна Семенович - Нейропсихологическая коррекция в детском возрасте. Метод замещающего онтогенеза. Учебное пособи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на Семенович - Нейропсихологическая коррекция в детском возрасте. Метод замещающего онтогенеза. Учебное пособи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                                     Общаясь с ребенком – левшой помните, что ему нелегко дается все, что связано с необходимостью быстрого переключения с одного процесса на другой (или с одного вида действий на другой в рамках одного процесса). А ведь на таких переключениях, равно как и на плавном, упорядоченном разворачивании любого действия (восприятия окружающего мира или чтения, игры или письма), базируется все наше поведение.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 Не надо сердиться и ждать, когда же ребенок сам научится (просто глядя на вас) пользоваться ложкой, иголкой, ножницами, кисточкой, спицами, завязывать шнурки, манипулировать с одеялом и пододеяльником и т.п. Лучше сразу взять его руки в свои, и несколько раз вместе с ним повторить нужное движение. Вы хотите научить ребенка - левшу плавать брассом и кролем (играть в теннис, танцевать)? Прекрасно! Мама «руководит» его руками, папа — ногами. Только потренируйтесь вначале сами, чтоб синхронизировать собственные действия.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 Особенно сложны для левшей ситуации, в которых необходимы быстрые одновременные действия обеих рук (особенно, если эти движения не синхронны). Часто дети жалуются, что им мешают руки и ноги, если приходиться выполнять какое-либо сложное гимнастическое упражнение или танец.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 Не торопите ребенка, если он не может делать сразу несколько дел, например, что-то рисовать и слушать вас: это ему не под силу. Он может сосредоточиться лишь на чем-то одном.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 Задача взрослых — буквально заставить тело ребенка запомнить ту или иную операцию, взаиморасположение в каждом случае его пальцев рук, ног, туловища, головы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 Стремясь оказать помощь маленьким левшам, старайтесь во время давать им как можно больше упражнений, в которых были бы задействованы обе руки или ноги — например, имитация плавания кролем или игры на фортепиано. Отработайте с ними вместе каждое движение отдельно и лишь постепенно наращивайте темп.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 То же относится к написанию букв, цифр, рисованию. Не требуйте, чтобы маленький левша срисовал нечто, глядя на образец. Лучше положите сверху кальку и обведите вместе с ним нужный образец несколько раз. Или, наоборот, воспользуйтесь копиркой и покажите ребенку, какой красивый «образ» возник на нижнем листе.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 Чем младше ребенок, тем более подробной и четкой должна быть инструкция и наглядная демонстрация того, как делать, равно как и обсуждение всех этапов предстоящей работы. Важно понимать разницу между инструкцией: «Делай, как хочешь» и «Делай точно так»; «Брось в стенку мяч» и «Брось мячом в красный кружок (цель!) на стене».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0"/>
          <w:szCs w:val="20"/>
        </w:rPr>
      </w:pPr>
      <w:r>
        <w:rPr>
          <w:rFonts w:ascii="Tahoma" w:eastAsia="Times New Roman" w:hAnsi="Tahoma" w:cs="Tahoma"/>
          <w:noProof/>
          <w:color w:val="4B4B4B"/>
          <w:sz w:val="20"/>
          <w:szCs w:val="20"/>
        </w:rPr>
        <w:lastRenderedPageBreak/>
        <w:drawing>
          <wp:inline distT="0" distB="0" distL="0" distR="0">
            <wp:extent cx="2282190" cy="2273935"/>
            <wp:effectExtent l="19050" t="0" r="3810" b="0"/>
            <wp:docPr id="9" name="Рисунок 9" descr="Родители, помните: «Ребенок в комнате – закрой окно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дители, помните: «Ребенок в комнате – закрой окно!»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   Советы родителям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леворукого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ребенка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1.       Взрослые не должны никогда, ни при каких обстоятельствах показывать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леворукому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ребенку негативное отношение к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леворукости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2.       Старайтесь придерживаться единой тактики отношений с ребенком. Раздоры в семье и несогласованность требований родителей к ребенку всегда осложняют ситуацию.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4.       Помните, что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леворукость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— индивидуальный вариант нормы, поэтому трудности, возникающие у левши, совсем не обязательно связаны с его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леворукостью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, такие же проблемы могут быть и у праворукого ребенка.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5.       «Пробовать» научить ребенка работать правой рукой, тем более настаивать на этом – бессмысленно. Переучивание может привести к серьезным нарушениям здоровья.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6.       Определить ведущую руку целесообразно в 4—4,5 года и не менять ее, даже если качество письма и рисования будет не очень удовлетворять вас.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7.       Научите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леворукого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ребенка правильно сидеть за рабочим столом,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правильно держать ручку, располагать тетрадь. Помните, свет при работе должен падать справа.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8.       При обучении письму используйте «Прописи для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леворуких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детей».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         Помните, методика безотрывного письма неприменима при обучении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леворуких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детей.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9.       Не заставляйте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леворукого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ребенка читать, если он сам отказывается, даже если вы уверены, что он знает все буквы. Складывайте буквы из их элементов, пишите буквы, играйте с буквами — эта работа облегчит ребенку распознавание букв и процесс обучения чтению.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10. Ваш ребенок нуждается в особом внимании и подходе, но не потому, что он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леворукий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>, а потому, что каждый ребенок уникален и неповторим.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11. Не пренебрегайте такими общепринятыми способами общеукрепляющих мероприятий, как спортивные занятия, подвижные игры, ванны с морской солью и травами, массаж.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12. Определяющим в развитии ребенка – левши является именно направленное нейропсихологическое сопровождение этих детей.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 Литература: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1. Безруких М.М «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Леворукий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ребенок», изд-во «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Вентана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- Граф», М., 2005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2. Семенович А. В. «»Эти невероятные левши», 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изд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– во «Генезис», М., 2005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     Советуем прочитать:</w:t>
      </w:r>
    </w:p>
    <w:p w:rsidR="000371CA" w:rsidRPr="000371CA" w:rsidRDefault="000371CA" w:rsidP="000371CA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0"/>
          <w:szCs w:val="20"/>
        </w:rPr>
      </w:pPr>
      <w:r w:rsidRPr="000371CA">
        <w:rPr>
          <w:rFonts w:ascii="Tahoma" w:eastAsia="Times New Roman" w:hAnsi="Tahoma" w:cs="Tahoma"/>
          <w:color w:val="4B4B4B"/>
          <w:sz w:val="20"/>
          <w:szCs w:val="20"/>
        </w:rPr>
        <w:t>1. Семенович А. В</w:t>
      </w:r>
      <w:r w:rsidRPr="000371CA">
        <w:rPr>
          <w:rFonts w:ascii="Tahoma" w:eastAsia="Times New Roman" w:hAnsi="Tahoma" w:cs="Tahoma"/>
          <w:b/>
          <w:bCs/>
          <w:color w:val="4B4B4B"/>
          <w:sz w:val="20"/>
        </w:rPr>
        <w:t>. «Нейропсихологическая коррекция в детском возрасте. Метод замещающего онтогенеза», </w:t>
      </w:r>
      <w:proofErr w:type="spellStart"/>
      <w:r w:rsidRPr="000371CA">
        <w:rPr>
          <w:rFonts w:ascii="Tahoma" w:eastAsia="Times New Roman" w:hAnsi="Tahoma" w:cs="Tahoma"/>
          <w:color w:val="4B4B4B"/>
          <w:sz w:val="20"/>
          <w:szCs w:val="20"/>
        </w:rPr>
        <w:t>изд</w:t>
      </w:r>
      <w:proofErr w:type="spellEnd"/>
      <w:r w:rsidRPr="000371CA">
        <w:rPr>
          <w:rFonts w:ascii="Tahoma" w:eastAsia="Times New Roman" w:hAnsi="Tahoma" w:cs="Tahoma"/>
          <w:color w:val="4B4B4B"/>
          <w:sz w:val="20"/>
          <w:szCs w:val="20"/>
        </w:rPr>
        <w:t xml:space="preserve"> - во «Генезис», М., 2015 г.</w:t>
      </w:r>
    </w:p>
    <w:p w:rsidR="006A5624" w:rsidRDefault="006A5624"/>
    <w:sectPr w:rsidR="006A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002D"/>
    <w:multiLevelType w:val="multilevel"/>
    <w:tmpl w:val="D1E4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D1C9F"/>
    <w:multiLevelType w:val="multilevel"/>
    <w:tmpl w:val="745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313D12"/>
    <w:multiLevelType w:val="multilevel"/>
    <w:tmpl w:val="0A08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C443CB"/>
    <w:multiLevelType w:val="multilevel"/>
    <w:tmpl w:val="094A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371CA"/>
    <w:rsid w:val="000371CA"/>
    <w:rsid w:val="006A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7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7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3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1CA"/>
    <w:rPr>
      <w:b/>
      <w:bCs/>
    </w:rPr>
  </w:style>
  <w:style w:type="character" w:customStyle="1" w:styleId="apple-converted-space">
    <w:name w:val="apple-converted-space"/>
    <w:basedOn w:val="a0"/>
    <w:rsid w:val="000371CA"/>
  </w:style>
  <w:style w:type="paragraph" w:styleId="a5">
    <w:name w:val="Balloon Text"/>
    <w:basedOn w:val="a"/>
    <w:link w:val="a6"/>
    <w:uiPriority w:val="99"/>
    <w:semiHidden/>
    <w:unhideWhenUsed/>
    <w:rsid w:val="0003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labirint.ru/screenshot/goods/221394/10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s622217.vk.me/v622217853/3646f/ECTLHjNVjCY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2462</Words>
  <Characters>14038</Characters>
  <Application>Microsoft Office Word</Application>
  <DocSecurity>0</DocSecurity>
  <Lines>116</Lines>
  <Paragraphs>32</Paragraphs>
  <ScaleCrop>false</ScaleCrop>
  <Company/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2017-04-12T04:53:00Z</dcterms:created>
  <dcterms:modified xsi:type="dcterms:W3CDTF">2017-04-12T04:54:00Z</dcterms:modified>
</cp:coreProperties>
</file>