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9" w:rsidRPr="00625E69" w:rsidRDefault="00625E69" w:rsidP="00625E69">
      <w:pPr>
        <w:shd w:val="clear" w:color="auto" w:fill="FFFFFF"/>
        <w:spacing w:before="75" w:after="480" w:line="720" w:lineRule="atLeast"/>
        <w:outlineLvl w:val="0"/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</w:pPr>
      <w:r w:rsidRPr="00625E69">
        <w:rPr>
          <w:rFonts w:ascii="inherit" w:eastAsia="Times New Roman" w:hAnsi="inherit" w:cs="Times New Roman"/>
          <w:color w:val="333333"/>
          <w:kern w:val="36"/>
          <w:sz w:val="60"/>
          <w:szCs w:val="60"/>
          <w:lang w:eastAsia="ru-RU"/>
        </w:rPr>
        <w:t>Правила перевозки детей в автомобиле 2018</w:t>
      </w:r>
    </w:p>
    <w:p w:rsidR="00625E69" w:rsidRPr="00625E69" w:rsidRDefault="00625E69" w:rsidP="00625E69">
      <w:pPr>
        <w:shd w:val="clear" w:color="auto" w:fill="FFFFFF"/>
        <w:spacing w:after="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По правилам дорожного движения водитель при движении автомобиля должен быть пристегнут ремнями безопасности и не перевозить 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непристегнутых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пассажиров. Особое внимание уделяется безопасности перевозки детей. Разберемся детально: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действуют правила перевозки детей в автомобиле;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что такое «Детское удерживающее устройство»;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существуют устройства для перевозки детей;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требования предъявляются к детским удерживающим устройствам;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каковы правила установки удерживающих устройств;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какой штраф предусмотрен за неправильную перевозку детей;</w:t>
      </w:r>
    </w:p>
    <w:p w:rsidR="00625E69" w:rsidRPr="00625E69" w:rsidRDefault="00625E69" w:rsidP="00625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какие изменения в правилах нас ждут.</w:t>
      </w:r>
    </w:p>
    <w:p w:rsidR="00625E69" w:rsidRPr="00625E69" w:rsidRDefault="00625E69" w:rsidP="00625E6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25E6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Что такое «Детское удерживающее устройство»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Понятие детского удерживающего устройства дано в ГОСТ Р 41.44-2005</w:t>
      </w:r>
      <w:r w:rsidR="009C4ED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Согласно этого стандарта, детское удерживающее устройство - это совокупность элементов, состоящая из:</w:t>
      </w:r>
    </w:p>
    <w:p w:rsidR="00625E69" w:rsidRPr="00625E69" w:rsidRDefault="00625E69" w:rsidP="00625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лямок или гибких элементов с пряжками;</w:t>
      </w:r>
    </w:p>
    <w:p w:rsidR="00625E69" w:rsidRPr="00625E69" w:rsidRDefault="00625E69" w:rsidP="00625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регулирующих устройств;</w:t>
      </w:r>
    </w:p>
    <w:p w:rsidR="00625E69" w:rsidRPr="00625E69" w:rsidRDefault="00625E69" w:rsidP="00625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деталей крепления;</w:t>
      </w:r>
    </w:p>
    <w:p w:rsidR="00625E69" w:rsidRPr="00625E69" w:rsidRDefault="00625E69" w:rsidP="00625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и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противоударного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экрана), которое прикрепляется к внутренней части кузова автомобиля.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должно быть сконструировано так, чтобы в случае столкновения или резкого торможения автомобиля уменьшить опасность ранения ребенка,  ограничить его подвижность.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Детские удерживающие устройства подразделяют на пять весовых групп: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группа 0 (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0) - для детей массой менее 10 кг;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0+ (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0+) - для детей массой менее 13 кг;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 (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I) - для детей массой 9-18 кг;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 (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II) - для детей массой 15-25 кг;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br/>
        <w:t>группа III (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group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 III) - для детей массой 22-36 кг.</w:t>
      </w:r>
    </w:p>
    <w:p w:rsidR="00625E69" w:rsidRPr="00625E69" w:rsidRDefault="00625E69" w:rsidP="00625E69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25E6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Какие устройства можно использовать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Устройство можно использовать, если:</w:t>
      </w:r>
    </w:p>
    <w:p w:rsidR="00625E69" w:rsidRPr="00625E69" w:rsidRDefault="00625E69" w:rsidP="00625E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оно соответствует весу и росту ребенка;</w:t>
      </w:r>
    </w:p>
    <w:p w:rsidR="00625E69" w:rsidRPr="00625E69" w:rsidRDefault="00625E69" w:rsidP="00625E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его конструкция соответствует ГОСТ Р 41.44-2005.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Детские удерживающие устройства могут быть двух типов: цельные и 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нецельные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b/>
          <w:bCs/>
          <w:color w:val="333333"/>
          <w:sz w:val="21"/>
          <w:lang w:eastAsia="ru-RU"/>
        </w:rPr>
        <w:lastRenderedPageBreak/>
        <w:t>Цельные удерживающие устройства. 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 xml:space="preserve">Представляют собой комплект всех элементов, необходимых для фиксирования ребенка в устройстве. Примеры: люльки, </w:t>
      </w:r>
      <w:proofErr w:type="spellStart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автокресла</w:t>
      </w:r>
      <w:proofErr w:type="spellEnd"/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0" cy="2438400"/>
            <wp:effectExtent l="19050" t="0" r="0" b="0"/>
            <wp:docPr id="2" name="Рисунок 2" descr="автокресло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кресло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proofErr w:type="spellStart"/>
      <w:r w:rsidRPr="00625E69">
        <w:rPr>
          <w:rFonts w:ascii="Roboto-Light" w:eastAsia="Times New Roman" w:hAnsi="Roboto-Light" w:cs="Times New Roman"/>
          <w:b/>
          <w:bCs/>
          <w:color w:val="333333"/>
          <w:sz w:val="21"/>
          <w:lang w:eastAsia="ru-RU"/>
        </w:rPr>
        <w:t>Нецельные</w:t>
      </w:r>
      <w:proofErr w:type="spellEnd"/>
      <w:r w:rsidRPr="00625E69">
        <w:rPr>
          <w:rFonts w:ascii="Roboto-Light" w:eastAsia="Times New Roman" w:hAnsi="Roboto-Light" w:cs="Times New Roman"/>
          <w:b/>
          <w:bCs/>
          <w:color w:val="333333"/>
          <w:sz w:val="21"/>
          <w:lang w:eastAsia="ru-RU"/>
        </w:rPr>
        <w:t xml:space="preserve"> удерживающие устройства. 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Включают в себя частичное удерживающее устройство, которое используется </w:t>
      </w:r>
      <w:r w:rsidRPr="00625E69">
        <w:rPr>
          <w:rFonts w:ascii="Roboto-Light" w:eastAsia="Times New Roman" w:hAnsi="Roboto-Light" w:cs="Times New Roman"/>
          <w:i/>
          <w:iCs/>
          <w:color w:val="333333"/>
          <w:sz w:val="21"/>
          <w:lang w:eastAsia="ru-RU"/>
        </w:rPr>
        <w:t>в сочетании с ремнем безопасности для взрослых</w:t>
      </w: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 и в совокупности образует детское удерживающее устройство в комплекте. Примеры: бустеры и адаптеры для ремня безопасности.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5750" cy="2438400"/>
            <wp:effectExtent l="19050" t="0" r="0" b="0"/>
            <wp:docPr id="3" name="Рисунок 3" descr="бустер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стер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69" w:rsidRPr="00625E69" w:rsidRDefault="00625E69" w:rsidP="00625E6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25E69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Правила установки удерживающих устройств в авто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По статистике самым безопасным местом является среднее сиденье заднего ряда. Самым опасным – переднее пассажирское кресло. Учитывайте эти данные при расположении удерживающих устройств в своем автомобиле.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Автомобильные кресла можно устанавливать как на переднем пассажирском сиденье, так и на заднем. 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 w:rsidRPr="00625E69"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  <w:t>Если вы устанавливаете кресло спереди обязательно учитывайте конструкцию вашего автомобиля. Если в нем есть передняя пассажирская подушка безопасности, её необходимо отключать для детских кресел, обращенных назад.</w:t>
      </w:r>
    </w:p>
    <w:p w:rsidR="00625E69" w:rsidRPr="00625E69" w:rsidRDefault="00625E69" w:rsidP="00625E69">
      <w:pPr>
        <w:shd w:val="clear" w:color="auto" w:fill="FFFFFF"/>
        <w:spacing w:after="300" w:line="240" w:lineRule="auto"/>
        <w:jc w:val="both"/>
        <w:rPr>
          <w:rFonts w:ascii="Roboto-Light" w:eastAsia="Times New Roman" w:hAnsi="Roboto-Light" w:cs="Times New Roman"/>
          <w:color w:val="333333"/>
          <w:sz w:val="21"/>
          <w:szCs w:val="21"/>
          <w:lang w:eastAsia="ru-RU"/>
        </w:rPr>
      </w:pPr>
      <w:r>
        <w:rPr>
          <w:rFonts w:ascii="Roboto-Light" w:eastAsia="Times New Roman" w:hAnsi="Roboto-Ligh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095750" cy="2667000"/>
            <wp:effectExtent l="19050" t="0" r="0" b="0"/>
            <wp:docPr id="4" name="Рисунок 4" descr="установка кресла на передн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кресла на переднее сидень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6AA"/>
    <w:multiLevelType w:val="multilevel"/>
    <w:tmpl w:val="18F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43C63"/>
    <w:multiLevelType w:val="multilevel"/>
    <w:tmpl w:val="9F4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761"/>
    <w:multiLevelType w:val="multilevel"/>
    <w:tmpl w:val="E59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E69"/>
    <w:rsid w:val="00232680"/>
    <w:rsid w:val="00625E69"/>
    <w:rsid w:val="009C4ED9"/>
    <w:rsid w:val="00A62A62"/>
    <w:rsid w:val="00AA6EB8"/>
    <w:rsid w:val="00F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1">
    <w:name w:val="heading 1"/>
    <w:basedOn w:val="a"/>
    <w:link w:val="10"/>
    <w:uiPriority w:val="9"/>
    <w:qFormat/>
    <w:rsid w:val="0062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E69"/>
    <w:rPr>
      <w:b/>
      <w:bCs/>
    </w:rPr>
  </w:style>
  <w:style w:type="character" w:styleId="a5">
    <w:name w:val="Emphasis"/>
    <w:basedOn w:val="a0"/>
    <w:uiPriority w:val="20"/>
    <w:qFormat/>
    <w:rsid w:val="00625E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2018-12-07T11:41:00Z</dcterms:created>
  <dcterms:modified xsi:type="dcterms:W3CDTF">2018-12-07T11:42:00Z</dcterms:modified>
</cp:coreProperties>
</file>