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823F1" w:rsidRPr="005A68BE" w:rsidRDefault="00A823F1" w:rsidP="00A823F1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Pr="005A68BE">
        <w:rPr>
          <w:b/>
          <w:sz w:val="28"/>
        </w:rPr>
        <w:t xml:space="preserve"> отчету об  исполнени</w:t>
      </w:r>
      <w:r>
        <w:rPr>
          <w:b/>
          <w:sz w:val="28"/>
        </w:rPr>
        <w:t>и</w:t>
      </w:r>
      <w:r w:rsidRPr="005A68BE">
        <w:rPr>
          <w:b/>
          <w:sz w:val="28"/>
        </w:rPr>
        <w:t xml:space="preserve">  бюджета</w:t>
      </w:r>
      <w:r w:rsidR="00122EC5">
        <w:rPr>
          <w:b/>
          <w:sz w:val="28"/>
        </w:rPr>
        <w:t xml:space="preserve"> муниципального района</w:t>
      </w:r>
    </w:p>
    <w:p w:rsidR="00A823F1" w:rsidRDefault="00CE3D92" w:rsidP="00A823F1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A823F1" w:rsidRPr="005A68BE">
        <w:rPr>
          <w:b/>
          <w:sz w:val="28"/>
        </w:rPr>
        <w:t>201</w:t>
      </w:r>
      <w:r w:rsidR="00122EC5">
        <w:rPr>
          <w:b/>
          <w:sz w:val="28"/>
        </w:rPr>
        <w:t>6</w:t>
      </w:r>
      <w:r w:rsidR="00A823F1" w:rsidRPr="005A68BE">
        <w:rPr>
          <w:b/>
          <w:sz w:val="28"/>
        </w:rPr>
        <w:t xml:space="preserve"> год</w:t>
      </w:r>
    </w:p>
    <w:p w:rsidR="00A823F1" w:rsidRPr="007C39F3" w:rsidRDefault="00A823F1" w:rsidP="00A823F1">
      <w:pPr>
        <w:jc w:val="both"/>
      </w:pPr>
    </w:p>
    <w:p w:rsidR="00A823F1" w:rsidRPr="007C39F3" w:rsidRDefault="00D622D9" w:rsidP="00A823F1">
      <w:pPr>
        <w:pStyle w:val="a7"/>
        <w:keepNext/>
        <w:widowControl w:val="0"/>
        <w:ind w:firstLine="720"/>
        <w:jc w:val="both"/>
      </w:pPr>
      <w:r>
        <w:t>Б</w:t>
      </w:r>
      <w:r w:rsidR="00A823F1" w:rsidRPr="007C39F3">
        <w:t>юджет</w:t>
      </w:r>
      <w:r>
        <w:t xml:space="preserve"> муниципального района</w:t>
      </w:r>
      <w:r w:rsidR="00A823F1" w:rsidRPr="007C39F3">
        <w:t xml:space="preserve"> </w:t>
      </w:r>
      <w:r w:rsidR="000C1169">
        <w:t>в доходной части исполнен</w:t>
      </w:r>
      <w:r w:rsidR="000134DF">
        <w:t>о</w:t>
      </w:r>
      <w:r w:rsidR="00A823F1" w:rsidRPr="007C39F3">
        <w:t xml:space="preserve"> в сумме </w:t>
      </w:r>
      <w:r w:rsidR="00047B1E">
        <w:t>428246,6</w:t>
      </w:r>
      <w:r w:rsidR="00A823F1" w:rsidRPr="007C39F3">
        <w:t xml:space="preserve"> тыс.</w:t>
      </w:r>
      <w:r w:rsidR="00A823F1">
        <w:t xml:space="preserve"> </w:t>
      </w:r>
      <w:r w:rsidR="00A823F1" w:rsidRPr="007C39F3">
        <w:t xml:space="preserve">рублей при уточненном плане </w:t>
      </w:r>
      <w:r w:rsidR="00047B1E">
        <w:t>431833,61</w:t>
      </w:r>
      <w:r w:rsidR="00A823F1" w:rsidRPr="007C39F3">
        <w:t xml:space="preserve"> тыс.</w:t>
      </w:r>
      <w:r w:rsidR="00A823F1">
        <w:t xml:space="preserve"> </w:t>
      </w:r>
      <w:r w:rsidR="00A823F1" w:rsidRPr="007C39F3">
        <w:t>рублей</w:t>
      </w:r>
      <w:r w:rsidR="000134DF">
        <w:t xml:space="preserve"> или </w:t>
      </w:r>
      <w:r w:rsidR="001B7AC9">
        <w:t>99</w:t>
      </w:r>
      <w:r w:rsidR="000134DF">
        <w:t>,2</w:t>
      </w:r>
      <w:r w:rsidR="007C404C">
        <w:t xml:space="preserve"> </w:t>
      </w:r>
      <w:r w:rsidR="00A823F1" w:rsidRPr="007C39F3">
        <w:t xml:space="preserve">% от </w:t>
      </w:r>
      <w:r w:rsidR="00A823F1">
        <w:t xml:space="preserve">уточненного </w:t>
      </w:r>
      <w:r w:rsidR="00A823F1" w:rsidRPr="007C39F3">
        <w:t xml:space="preserve">годового плана, по налоговым и неналоговым доходам исполнено в сумме </w:t>
      </w:r>
      <w:r w:rsidR="000134DF">
        <w:t>3</w:t>
      </w:r>
      <w:r w:rsidR="001B7AC9">
        <w:t>9053,7</w:t>
      </w:r>
      <w:r w:rsidR="00A823F1" w:rsidRPr="007C39F3">
        <w:t xml:space="preserve"> тыс.</w:t>
      </w:r>
      <w:r w:rsidR="00A823F1">
        <w:t xml:space="preserve"> </w:t>
      </w:r>
      <w:r w:rsidR="00A823F1" w:rsidRPr="007C39F3">
        <w:t xml:space="preserve">руб. при плановом назначении </w:t>
      </w:r>
      <w:r w:rsidR="000134DF">
        <w:t>3</w:t>
      </w:r>
      <w:r w:rsidR="001B7AC9">
        <w:t>8147</w:t>
      </w:r>
      <w:r w:rsidR="00A823F1" w:rsidRPr="007C39F3">
        <w:t xml:space="preserve"> тыс.</w:t>
      </w:r>
      <w:r w:rsidR="00A823F1">
        <w:t xml:space="preserve"> руб. или </w:t>
      </w:r>
      <w:r w:rsidR="000134DF">
        <w:t>102,</w:t>
      </w:r>
      <w:r w:rsidR="001B7AC9">
        <w:t>4</w:t>
      </w:r>
      <w:r w:rsidR="007C404C">
        <w:t xml:space="preserve"> </w:t>
      </w:r>
      <w:r w:rsidR="00A823F1">
        <w:t xml:space="preserve">%. </w:t>
      </w:r>
    </w:p>
    <w:p w:rsidR="00A823F1" w:rsidRDefault="00A823F1" w:rsidP="00A823F1">
      <w:pPr>
        <w:pStyle w:val="a"/>
        <w:numPr>
          <w:ilvl w:val="0"/>
          <w:numId w:val="0"/>
        </w:numPr>
        <w:ind w:firstLine="540"/>
        <w:jc w:val="both"/>
        <w:rPr>
          <w:b w:val="0"/>
        </w:rPr>
      </w:pPr>
      <w:r>
        <w:rPr>
          <w:b w:val="0"/>
        </w:rPr>
        <w:t>Безвозмездные поступления исполнен</w:t>
      </w:r>
      <w:r w:rsidR="002118FB">
        <w:rPr>
          <w:b w:val="0"/>
        </w:rPr>
        <w:t>ы</w:t>
      </w:r>
      <w:r>
        <w:rPr>
          <w:b w:val="0"/>
        </w:rPr>
        <w:t xml:space="preserve"> в сумме </w:t>
      </w:r>
      <w:r w:rsidR="000F6DDC">
        <w:rPr>
          <w:b w:val="0"/>
        </w:rPr>
        <w:t>389192,9</w:t>
      </w:r>
      <w:r>
        <w:rPr>
          <w:b w:val="0"/>
        </w:rPr>
        <w:t xml:space="preserve"> тыс. рублей при годовом плане </w:t>
      </w:r>
      <w:r w:rsidR="000F6DDC">
        <w:rPr>
          <w:b w:val="0"/>
        </w:rPr>
        <w:t>393686,61</w:t>
      </w:r>
      <w:r>
        <w:rPr>
          <w:b w:val="0"/>
        </w:rPr>
        <w:t xml:space="preserve"> тыс. рублей  или </w:t>
      </w:r>
      <w:r w:rsidR="000F6DDC">
        <w:rPr>
          <w:b w:val="0"/>
        </w:rPr>
        <w:t>98,9</w:t>
      </w:r>
      <w:r w:rsidR="007C404C">
        <w:rPr>
          <w:b w:val="0"/>
        </w:rPr>
        <w:t xml:space="preserve"> </w:t>
      </w:r>
      <w:r>
        <w:rPr>
          <w:b w:val="0"/>
        </w:rPr>
        <w:t xml:space="preserve">% от годового планового назначения. </w:t>
      </w:r>
    </w:p>
    <w:p w:rsidR="00A823F1" w:rsidRDefault="00A823F1" w:rsidP="00A823F1">
      <w:pPr>
        <w:pStyle w:val="a"/>
        <w:numPr>
          <w:ilvl w:val="0"/>
          <w:numId w:val="0"/>
        </w:numPr>
        <w:ind w:firstLine="540"/>
        <w:jc w:val="left"/>
      </w:pPr>
    </w:p>
    <w:p w:rsidR="00A823F1" w:rsidRDefault="00A823F1" w:rsidP="00A823F1">
      <w:pPr>
        <w:ind w:firstLine="720"/>
        <w:jc w:val="both"/>
        <w:rPr>
          <w:b/>
        </w:rPr>
      </w:pPr>
      <w:r>
        <w:rPr>
          <w:b/>
        </w:rPr>
        <w:t>1.Анализ исполнения доходной части бюджета, причины отклонения от бюджетных назначений по налоговым  и неналоговым доходам в разрезе видов доходов.</w:t>
      </w:r>
    </w:p>
    <w:p w:rsidR="005E142F" w:rsidRDefault="005E142F" w:rsidP="00A823F1">
      <w:pPr>
        <w:ind w:firstLine="720"/>
        <w:jc w:val="both"/>
        <w:rPr>
          <w:b/>
        </w:rPr>
      </w:pPr>
    </w:p>
    <w:p w:rsidR="00A823F1" w:rsidRPr="00056BEC" w:rsidRDefault="00A823F1" w:rsidP="00A823F1">
      <w:pPr>
        <w:ind w:firstLine="720"/>
        <w:jc w:val="both"/>
        <w:rPr>
          <w:b/>
        </w:rPr>
      </w:pPr>
      <w:r w:rsidRPr="00056BEC">
        <w:rPr>
          <w:b/>
        </w:rPr>
        <w:t>НДФЛ</w:t>
      </w:r>
    </w:p>
    <w:p w:rsidR="00A823F1" w:rsidRDefault="00A823F1" w:rsidP="00A823F1">
      <w:pPr>
        <w:pStyle w:val="2"/>
        <w:rPr>
          <w:b w:val="0"/>
        </w:rPr>
      </w:pPr>
      <w:r w:rsidRPr="00D61FC7">
        <w:rPr>
          <w:b w:val="0"/>
        </w:rPr>
        <w:t xml:space="preserve">По состоянию на </w:t>
      </w:r>
      <w:r>
        <w:rPr>
          <w:b w:val="0"/>
        </w:rPr>
        <w:t xml:space="preserve">01 </w:t>
      </w:r>
      <w:r w:rsidR="000134DF">
        <w:rPr>
          <w:b w:val="0"/>
        </w:rPr>
        <w:t>янва</w:t>
      </w:r>
      <w:r w:rsidR="004C4685">
        <w:rPr>
          <w:b w:val="0"/>
        </w:rPr>
        <w:t>ря</w:t>
      </w:r>
      <w:r w:rsidRPr="00D61FC7">
        <w:rPr>
          <w:b w:val="0"/>
        </w:rPr>
        <w:t xml:space="preserve"> 201</w:t>
      </w:r>
      <w:r w:rsidR="00BA1C26">
        <w:rPr>
          <w:b w:val="0"/>
        </w:rPr>
        <w:t>7</w:t>
      </w:r>
      <w:r w:rsidRPr="00D61FC7">
        <w:rPr>
          <w:b w:val="0"/>
        </w:rPr>
        <w:t xml:space="preserve"> года в местном бюджете кожууна наблюдается увеличение поступлений по сравнению с аналогичным периодом прошлого года по данному налогу на сумму </w:t>
      </w:r>
      <w:r w:rsidR="008967C8">
        <w:rPr>
          <w:b w:val="0"/>
        </w:rPr>
        <w:t>605</w:t>
      </w:r>
      <w:r w:rsidR="000134DF">
        <w:rPr>
          <w:b w:val="0"/>
        </w:rPr>
        <w:t>,9</w:t>
      </w:r>
      <w:r w:rsidRPr="00D61FC7">
        <w:rPr>
          <w:b w:val="0"/>
        </w:rPr>
        <w:t xml:space="preserve"> тыс.</w:t>
      </w:r>
      <w:r w:rsidR="005E142F">
        <w:rPr>
          <w:b w:val="0"/>
        </w:rPr>
        <w:t xml:space="preserve"> </w:t>
      </w:r>
      <w:r w:rsidRPr="00D61FC7">
        <w:rPr>
          <w:b w:val="0"/>
        </w:rPr>
        <w:t>рублей. У</w:t>
      </w:r>
      <w:r>
        <w:rPr>
          <w:b w:val="0"/>
        </w:rPr>
        <w:t xml:space="preserve">точненный план НДФЛ составляет </w:t>
      </w:r>
      <w:r w:rsidR="008967C8">
        <w:rPr>
          <w:b w:val="0"/>
        </w:rPr>
        <w:t>21473</w:t>
      </w:r>
      <w:r w:rsidRPr="00D61FC7">
        <w:rPr>
          <w:b w:val="0"/>
        </w:rPr>
        <w:t xml:space="preserve"> тыс.</w:t>
      </w:r>
      <w:r w:rsidR="005E142F">
        <w:rPr>
          <w:b w:val="0"/>
        </w:rPr>
        <w:t xml:space="preserve"> </w:t>
      </w:r>
      <w:r w:rsidRPr="00D61FC7">
        <w:rPr>
          <w:b w:val="0"/>
        </w:rPr>
        <w:t xml:space="preserve">рублей фактически поступило на 1 </w:t>
      </w:r>
      <w:r w:rsidR="000134DF">
        <w:rPr>
          <w:b w:val="0"/>
        </w:rPr>
        <w:t>января</w:t>
      </w:r>
      <w:r w:rsidRPr="00D61FC7">
        <w:rPr>
          <w:b w:val="0"/>
        </w:rPr>
        <w:t xml:space="preserve"> 201</w:t>
      </w:r>
      <w:r w:rsidR="000134DF">
        <w:rPr>
          <w:b w:val="0"/>
        </w:rPr>
        <w:t>6</w:t>
      </w:r>
      <w:r w:rsidRPr="00D61FC7">
        <w:rPr>
          <w:b w:val="0"/>
        </w:rPr>
        <w:t xml:space="preserve"> года </w:t>
      </w:r>
      <w:r w:rsidR="000134DF">
        <w:rPr>
          <w:b w:val="0"/>
        </w:rPr>
        <w:t>21</w:t>
      </w:r>
      <w:r w:rsidR="008967C8">
        <w:rPr>
          <w:b w:val="0"/>
        </w:rPr>
        <w:t>969,1</w:t>
      </w:r>
      <w:r w:rsidRPr="00D61FC7">
        <w:rPr>
          <w:b w:val="0"/>
        </w:rPr>
        <w:t xml:space="preserve"> тыс.</w:t>
      </w:r>
      <w:r w:rsidR="005E142F">
        <w:rPr>
          <w:b w:val="0"/>
        </w:rPr>
        <w:t xml:space="preserve"> </w:t>
      </w:r>
      <w:r w:rsidRPr="00D61FC7">
        <w:rPr>
          <w:b w:val="0"/>
        </w:rPr>
        <w:t xml:space="preserve">рублей или на </w:t>
      </w:r>
      <w:r w:rsidR="008967C8">
        <w:rPr>
          <w:b w:val="0"/>
        </w:rPr>
        <w:t>102,3</w:t>
      </w:r>
      <w:r w:rsidR="00544EFA">
        <w:rPr>
          <w:b w:val="0"/>
        </w:rPr>
        <w:t xml:space="preserve"> </w:t>
      </w:r>
      <w:r w:rsidRPr="00D61FC7">
        <w:rPr>
          <w:b w:val="0"/>
        </w:rPr>
        <w:t xml:space="preserve">%. </w:t>
      </w:r>
    </w:p>
    <w:p w:rsidR="006D3039" w:rsidRDefault="006D3039" w:rsidP="00A823F1">
      <w:pPr>
        <w:pStyle w:val="2"/>
      </w:pPr>
      <w:r w:rsidRPr="006D3039">
        <w:t>Налоги на товары (работы, услуги)</w:t>
      </w:r>
    </w:p>
    <w:p w:rsidR="006D3039" w:rsidRPr="006D3039" w:rsidRDefault="006D3039" w:rsidP="00A823F1">
      <w:pPr>
        <w:pStyle w:val="2"/>
        <w:rPr>
          <w:b w:val="0"/>
        </w:rPr>
      </w:pPr>
      <w:r w:rsidRPr="006D3039">
        <w:rPr>
          <w:b w:val="0"/>
        </w:rPr>
        <w:t xml:space="preserve">Поступление доходов от уплаты акцизов на топливо исполнено </w:t>
      </w:r>
      <w:r w:rsidR="001747EB">
        <w:rPr>
          <w:b w:val="0"/>
        </w:rPr>
        <w:t>10184,4</w:t>
      </w:r>
      <w:r w:rsidRPr="006D3039">
        <w:rPr>
          <w:b w:val="0"/>
        </w:rPr>
        <w:t xml:space="preserve"> тыс. рублей </w:t>
      </w:r>
      <w:r w:rsidR="004C4685">
        <w:rPr>
          <w:b w:val="0"/>
        </w:rPr>
        <w:t xml:space="preserve">при плане </w:t>
      </w:r>
      <w:r w:rsidR="001747EB">
        <w:rPr>
          <w:b w:val="0"/>
        </w:rPr>
        <w:t>9759</w:t>
      </w:r>
      <w:r w:rsidR="004C4685">
        <w:rPr>
          <w:b w:val="0"/>
        </w:rPr>
        <w:t xml:space="preserve"> тыс. рублей или </w:t>
      </w:r>
      <w:r w:rsidR="000134DF">
        <w:rPr>
          <w:b w:val="0"/>
        </w:rPr>
        <w:t>1</w:t>
      </w:r>
      <w:r w:rsidR="00097C55">
        <w:rPr>
          <w:b w:val="0"/>
        </w:rPr>
        <w:t>04,4</w:t>
      </w:r>
      <w:r w:rsidR="00544EFA">
        <w:rPr>
          <w:b w:val="0"/>
        </w:rPr>
        <w:t xml:space="preserve"> </w:t>
      </w:r>
      <w:r w:rsidRPr="006D3039">
        <w:rPr>
          <w:b w:val="0"/>
        </w:rPr>
        <w:t>%</w:t>
      </w:r>
      <w:r w:rsidR="004C4685">
        <w:rPr>
          <w:b w:val="0"/>
        </w:rPr>
        <w:t xml:space="preserve"> за </w:t>
      </w:r>
      <w:r>
        <w:rPr>
          <w:b w:val="0"/>
        </w:rPr>
        <w:t>201</w:t>
      </w:r>
      <w:r w:rsidR="00097C55">
        <w:rPr>
          <w:b w:val="0"/>
        </w:rPr>
        <w:t>6</w:t>
      </w:r>
      <w:r>
        <w:rPr>
          <w:b w:val="0"/>
        </w:rPr>
        <w:t xml:space="preserve"> год.</w:t>
      </w:r>
      <w:r w:rsidRPr="006D3039">
        <w:rPr>
          <w:b w:val="0"/>
        </w:rPr>
        <w:t xml:space="preserve"> </w:t>
      </w:r>
    </w:p>
    <w:p w:rsidR="00A823F1" w:rsidRPr="00056BEC" w:rsidRDefault="00A823F1" w:rsidP="00A823F1">
      <w:pPr>
        <w:pStyle w:val="1"/>
        <w:rPr>
          <w:bCs/>
          <w:szCs w:val="24"/>
        </w:rPr>
      </w:pPr>
      <w:r w:rsidRPr="00056BEC">
        <w:rPr>
          <w:bCs/>
          <w:szCs w:val="24"/>
        </w:rPr>
        <w:t>Налоги на совокупный доход</w:t>
      </w:r>
    </w:p>
    <w:p w:rsidR="00A823F1" w:rsidRDefault="00A823F1" w:rsidP="00A823F1">
      <w:pPr>
        <w:ind w:firstLine="720"/>
        <w:jc w:val="both"/>
        <w:rPr>
          <w:bCs/>
        </w:rPr>
      </w:pPr>
      <w:r>
        <w:t xml:space="preserve">Поступление </w:t>
      </w:r>
      <w:r w:rsidR="006D3039">
        <w:t>по данному налогу</w:t>
      </w:r>
      <w:r>
        <w:t xml:space="preserve"> за 201</w:t>
      </w:r>
      <w:r w:rsidR="004139F6">
        <w:t>6</w:t>
      </w:r>
      <w:r>
        <w:t xml:space="preserve"> год в бюджет составило </w:t>
      </w:r>
      <w:r w:rsidR="004C4685">
        <w:t>1</w:t>
      </w:r>
      <w:r w:rsidR="00C9676C">
        <w:t>826,7</w:t>
      </w:r>
      <w:r>
        <w:t xml:space="preserve"> тыс.</w:t>
      </w:r>
      <w:r w:rsidR="006D3039">
        <w:t xml:space="preserve"> </w:t>
      </w:r>
      <w:r>
        <w:t>руб</w:t>
      </w:r>
      <w:r w:rsidR="006D3039">
        <w:t>лей при  годовом плане 1</w:t>
      </w:r>
      <w:r w:rsidR="00C9676C">
        <w:t>727</w:t>
      </w:r>
      <w:r>
        <w:t xml:space="preserve"> тыс.</w:t>
      </w:r>
      <w:r w:rsidR="006D3039">
        <w:t xml:space="preserve"> рублей</w:t>
      </w:r>
      <w:r>
        <w:t>, про</w:t>
      </w:r>
      <w:r w:rsidR="006D3039">
        <w:t xml:space="preserve">изошло увеличение на сумму </w:t>
      </w:r>
      <w:r w:rsidR="007C61CD">
        <w:t>127,1</w:t>
      </w:r>
      <w:r w:rsidR="006D3039">
        <w:t xml:space="preserve"> тыс. рублей</w:t>
      </w:r>
      <w:r w:rsidR="00056BEC">
        <w:t xml:space="preserve"> по сравнению с </w:t>
      </w:r>
      <w:r w:rsidR="004C4685">
        <w:t>аналогичным периодом</w:t>
      </w:r>
      <w:r w:rsidR="00056BEC">
        <w:t xml:space="preserve"> 201</w:t>
      </w:r>
      <w:r w:rsidR="007C61CD">
        <w:t>5</w:t>
      </w:r>
      <w:r w:rsidR="00056BEC">
        <w:t xml:space="preserve"> года</w:t>
      </w:r>
      <w:r>
        <w:t>.</w:t>
      </w:r>
      <w:r w:rsidRPr="0021629F">
        <w:t xml:space="preserve"> </w:t>
      </w:r>
    </w:p>
    <w:p w:rsidR="00A823F1" w:rsidRDefault="00A823F1" w:rsidP="00A823F1">
      <w:pPr>
        <w:pStyle w:val="1"/>
        <w:rPr>
          <w:szCs w:val="24"/>
        </w:rPr>
      </w:pPr>
      <w:r>
        <w:rPr>
          <w:szCs w:val="24"/>
        </w:rPr>
        <w:t>Имущественные налоги</w:t>
      </w:r>
    </w:p>
    <w:p w:rsidR="00A823F1" w:rsidRDefault="00056BEC" w:rsidP="00056BEC">
      <w:pPr>
        <w:ind w:firstLine="720"/>
        <w:jc w:val="both"/>
      </w:pPr>
      <w:r>
        <w:t>Н</w:t>
      </w:r>
      <w:r w:rsidR="00A823F1" w:rsidRPr="00B62DD4">
        <w:t xml:space="preserve">алог на имущество </w:t>
      </w:r>
      <w:r w:rsidR="00A823F1">
        <w:t>организаций</w:t>
      </w:r>
      <w:r w:rsidR="00A823F1" w:rsidRPr="00B62DD4">
        <w:t xml:space="preserve"> исполнен в сумме </w:t>
      </w:r>
      <w:r w:rsidR="00B6151B">
        <w:t>1097,5</w:t>
      </w:r>
      <w:r w:rsidR="00A823F1">
        <w:t xml:space="preserve"> тыс.</w:t>
      </w:r>
      <w:r>
        <w:t xml:space="preserve"> </w:t>
      </w:r>
      <w:r w:rsidR="001A42F0">
        <w:t>рублей</w:t>
      </w:r>
      <w:r w:rsidR="00B6151B">
        <w:t>,</w:t>
      </w:r>
      <w:r w:rsidR="00B6151B" w:rsidRPr="00B6151B">
        <w:t xml:space="preserve"> от плановых назначений</w:t>
      </w:r>
      <w:r w:rsidR="00B6151B">
        <w:t xml:space="preserve"> выполнен на 2,6% или на 27,5 тыс. рублей</w:t>
      </w:r>
      <w:r w:rsidR="001A42F0">
        <w:t>.</w:t>
      </w:r>
      <w:r w:rsidR="00A823F1" w:rsidRPr="00B62DD4">
        <w:t xml:space="preserve"> </w:t>
      </w:r>
    </w:p>
    <w:p w:rsidR="001D47E5" w:rsidRPr="001D47E5" w:rsidRDefault="001D47E5" w:rsidP="00056BEC">
      <w:pPr>
        <w:ind w:firstLine="720"/>
        <w:jc w:val="both"/>
        <w:rPr>
          <w:b/>
        </w:rPr>
      </w:pPr>
      <w:r w:rsidRPr="001D47E5">
        <w:rPr>
          <w:b/>
        </w:rPr>
        <w:t>Прочие налоговые доходы</w:t>
      </w:r>
    </w:p>
    <w:p w:rsidR="001D47E5" w:rsidRPr="001D47E5" w:rsidRDefault="001D47E5" w:rsidP="00056BEC">
      <w:pPr>
        <w:ind w:firstLine="720"/>
        <w:jc w:val="both"/>
      </w:pPr>
      <w:r w:rsidRPr="001D47E5">
        <w:t>Поступление от уплаты государственных пошлин в бюджет</w:t>
      </w:r>
      <w:r w:rsidR="00F473FB">
        <w:t xml:space="preserve"> кожууна</w:t>
      </w:r>
      <w:r w:rsidRPr="001D47E5">
        <w:t xml:space="preserve"> составило </w:t>
      </w:r>
      <w:r w:rsidR="0010416A">
        <w:t>799,1</w:t>
      </w:r>
      <w:r w:rsidRPr="001D47E5">
        <w:t xml:space="preserve"> тыс. рублей или </w:t>
      </w:r>
      <w:r w:rsidR="0010416A">
        <w:t>106,8</w:t>
      </w:r>
      <w:r w:rsidRPr="001D47E5">
        <w:t xml:space="preserve"> % от годового плана, по сравнению с соответствующим периодом прошлого года наблюдается </w:t>
      </w:r>
      <w:r w:rsidR="000134DF" w:rsidRPr="001D47E5">
        <w:t>у</w:t>
      </w:r>
      <w:r w:rsidR="000134DF">
        <w:t>меньшение</w:t>
      </w:r>
      <w:r w:rsidRPr="001D47E5">
        <w:t xml:space="preserve"> на сумму </w:t>
      </w:r>
      <w:r w:rsidR="0010416A">
        <w:t>54,9</w:t>
      </w:r>
      <w:r w:rsidRPr="001D47E5">
        <w:t xml:space="preserve"> тыс. рублей</w:t>
      </w:r>
      <w:r w:rsidR="00970BF2">
        <w:t xml:space="preserve"> или на 6,4%</w:t>
      </w:r>
      <w:r w:rsidRPr="001D47E5">
        <w:t>.</w:t>
      </w:r>
    </w:p>
    <w:p w:rsidR="00A823F1" w:rsidRDefault="00A823F1" w:rsidP="00A823F1">
      <w:pPr>
        <w:pStyle w:val="2"/>
        <w:rPr>
          <w:bCs/>
          <w:szCs w:val="24"/>
        </w:rPr>
      </w:pPr>
      <w:r>
        <w:rPr>
          <w:bCs/>
          <w:szCs w:val="24"/>
        </w:rPr>
        <w:t>Доходы от использования имущества, находящегося в муниципальной собственности</w:t>
      </w:r>
    </w:p>
    <w:p w:rsidR="00A823F1" w:rsidRPr="007C30F3" w:rsidRDefault="00A823F1" w:rsidP="00C75C7A">
      <w:pPr>
        <w:pStyle w:val="2"/>
      </w:pPr>
      <w:proofErr w:type="gramStart"/>
      <w:r>
        <w:rPr>
          <w:b w:val="0"/>
        </w:rPr>
        <w:t>За 201</w:t>
      </w:r>
      <w:r w:rsidR="008C55B1">
        <w:rPr>
          <w:b w:val="0"/>
        </w:rPr>
        <w:t>6</w:t>
      </w:r>
      <w:r>
        <w:rPr>
          <w:b w:val="0"/>
        </w:rPr>
        <w:t xml:space="preserve"> год доходы от сдачи в аренду земельных участков поступило </w:t>
      </w:r>
      <w:r w:rsidR="00792093">
        <w:rPr>
          <w:b w:val="0"/>
        </w:rPr>
        <w:t xml:space="preserve">на сумму </w:t>
      </w:r>
      <w:r w:rsidR="00C57CC6">
        <w:rPr>
          <w:b w:val="0"/>
        </w:rPr>
        <w:t>792</w:t>
      </w:r>
      <w:r>
        <w:rPr>
          <w:b w:val="0"/>
        </w:rPr>
        <w:t xml:space="preserve"> тыс.</w:t>
      </w:r>
      <w:r w:rsidR="001A42F0">
        <w:rPr>
          <w:b w:val="0"/>
        </w:rPr>
        <w:t xml:space="preserve"> рублей или </w:t>
      </w:r>
      <w:r w:rsidR="00C57CC6">
        <w:rPr>
          <w:b w:val="0"/>
        </w:rPr>
        <w:t>113,1</w:t>
      </w:r>
      <w:r>
        <w:rPr>
          <w:b w:val="0"/>
        </w:rPr>
        <w:t xml:space="preserve">% от годового плана и </w:t>
      </w:r>
      <w:r w:rsidR="00792093">
        <w:rPr>
          <w:b w:val="0"/>
        </w:rPr>
        <w:t xml:space="preserve">произошло </w:t>
      </w:r>
      <w:r w:rsidR="00E74A71">
        <w:rPr>
          <w:b w:val="0"/>
        </w:rPr>
        <w:t>сниже</w:t>
      </w:r>
      <w:r w:rsidR="00792093">
        <w:rPr>
          <w:b w:val="0"/>
        </w:rPr>
        <w:t>н</w:t>
      </w:r>
      <w:r>
        <w:rPr>
          <w:b w:val="0"/>
        </w:rPr>
        <w:t xml:space="preserve">ие по сравнению с аналогичным периодом прошлого года </w:t>
      </w:r>
      <w:r w:rsidR="00792093">
        <w:rPr>
          <w:b w:val="0"/>
        </w:rPr>
        <w:t xml:space="preserve"> на сумму </w:t>
      </w:r>
      <w:r w:rsidR="00E74A71">
        <w:rPr>
          <w:b w:val="0"/>
        </w:rPr>
        <w:t>300,6</w:t>
      </w:r>
      <w:r w:rsidR="00792093">
        <w:rPr>
          <w:b w:val="0"/>
        </w:rPr>
        <w:t xml:space="preserve"> тыс. рублей</w:t>
      </w:r>
      <w:r w:rsidR="00E74A71">
        <w:rPr>
          <w:b w:val="0"/>
        </w:rPr>
        <w:t xml:space="preserve"> или на 27,5%</w:t>
      </w:r>
      <w:r>
        <w:rPr>
          <w:b w:val="0"/>
        </w:rPr>
        <w:t>.</w:t>
      </w:r>
      <w:r>
        <w:t xml:space="preserve"> </w:t>
      </w:r>
      <w:r w:rsidRPr="007C30F3">
        <w:rPr>
          <w:b w:val="0"/>
        </w:rPr>
        <w:t xml:space="preserve">Поступление доходов от сдачи в аренду имущества в бюджет кожууна составило </w:t>
      </w:r>
      <w:r w:rsidR="00E74A71">
        <w:rPr>
          <w:b w:val="0"/>
        </w:rPr>
        <w:t>160,7</w:t>
      </w:r>
      <w:r w:rsidRPr="007C30F3">
        <w:rPr>
          <w:b w:val="0"/>
        </w:rPr>
        <w:t xml:space="preserve"> тыс.</w:t>
      </w:r>
      <w:r w:rsidR="002D3943">
        <w:rPr>
          <w:b w:val="0"/>
        </w:rPr>
        <w:t xml:space="preserve"> </w:t>
      </w:r>
      <w:r w:rsidRPr="007C30F3">
        <w:rPr>
          <w:b w:val="0"/>
        </w:rPr>
        <w:t>руб. или</w:t>
      </w:r>
      <w:r w:rsidR="00E74A71">
        <w:rPr>
          <w:b w:val="0"/>
        </w:rPr>
        <w:t xml:space="preserve"> 94,5</w:t>
      </w:r>
      <w:r w:rsidRPr="007C30F3">
        <w:rPr>
          <w:b w:val="0"/>
        </w:rPr>
        <w:t xml:space="preserve"> % от годового плана</w:t>
      </w:r>
      <w:r w:rsidR="001A42F0">
        <w:rPr>
          <w:b w:val="0"/>
        </w:rPr>
        <w:t>, по сравнению</w:t>
      </w:r>
      <w:proofErr w:type="gramEnd"/>
      <w:r w:rsidR="001A42F0">
        <w:rPr>
          <w:b w:val="0"/>
        </w:rPr>
        <w:t xml:space="preserve"> с аналогичным периодом прошлого года</w:t>
      </w:r>
      <w:r w:rsidR="002D3943">
        <w:rPr>
          <w:b w:val="0"/>
        </w:rPr>
        <w:t xml:space="preserve"> произошло </w:t>
      </w:r>
      <w:r w:rsidR="00E74A71">
        <w:rPr>
          <w:b w:val="0"/>
        </w:rPr>
        <w:t>сниже</w:t>
      </w:r>
      <w:r w:rsidR="002D3943">
        <w:rPr>
          <w:b w:val="0"/>
        </w:rPr>
        <w:t xml:space="preserve">ние на сумму </w:t>
      </w:r>
      <w:r w:rsidR="00E74A71">
        <w:rPr>
          <w:b w:val="0"/>
        </w:rPr>
        <w:t>454,3</w:t>
      </w:r>
      <w:r w:rsidR="001A42F0">
        <w:rPr>
          <w:b w:val="0"/>
        </w:rPr>
        <w:t xml:space="preserve"> тыс. рублей</w:t>
      </w:r>
      <w:r w:rsidR="00E74A71">
        <w:rPr>
          <w:b w:val="0"/>
        </w:rPr>
        <w:t xml:space="preserve"> или на 73,9%.</w:t>
      </w:r>
    </w:p>
    <w:p w:rsidR="00A823F1" w:rsidRDefault="00A823F1" w:rsidP="00A823F1">
      <w:pPr>
        <w:pStyle w:val="1"/>
        <w:rPr>
          <w:bCs/>
          <w:szCs w:val="24"/>
        </w:rPr>
      </w:pPr>
      <w:r>
        <w:rPr>
          <w:bCs/>
          <w:szCs w:val="24"/>
        </w:rPr>
        <w:t>Платежи при пользовании природными ресурсами</w:t>
      </w:r>
    </w:p>
    <w:p w:rsidR="00A823F1" w:rsidRDefault="00A823F1" w:rsidP="00A823F1">
      <w:pPr>
        <w:ind w:firstLine="720"/>
        <w:jc w:val="both"/>
      </w:pPr>
      <w:r>
        <w:t>Сформированы за счет платы за негативное воздействие на окружающую среду. Сумма поступлений  в бюджет кожууна за 201</w:t>
      </w:r>
      <w:r w:rsidR="0053261B">
        <w:t>6</w:t>
      </w:r>
      <w:r w:rsidR="00C75C7A">
        <w:t xml:space="preserve"> </w:t>
      </w:r>
      <w:r>
        <w:t>г</w:t>
      </w:r>
      <w:r w:rsidR="00C75C7A">
        <w:t>од</w:t>
      </w:r>
      <w:r w:rsidR="002D3943">
        <w:t xml:space="preserve"> составило</w:t>
      </w:r>
      <w:r>
        <w:t xml:space="preserve"> </w:t>
      </w:r>
      <w:r w:rsidR="0053261B">
        <w:t>169,8</w:t>
      </w:r>
      <w:r w:rsidR="001A42F0">
        <w:t xml:space="preserve"> тыс. рублей или </w:t>
      </w:r>
      <w:r w:rsidR="0053261B">
        <w:t>74,5</w:t>
      </w:r>
      <w:r w:rsidR="001A42F0">
        <w:t>% от годового плана</w:t>
      </w:r>
      <w:r>
        <w:t xml:space="preserve">. </w:t>
      </w:r>
    </w:p>
    <w:p w:rsidR="003C1F18" w:rsidRDefault="003C1F18" w:rsidP="00A823F1">
      <w:pPr>
        <w:ind w:firstLine="720"/>
        <w:jc w:val="both"/>
        <w:rPr>
          <w:b/>
        </w:rPr>
      </w:pPr>
      <w:r w:rsidRPr="003C1F18">
        <w:rPr>
          <w:b/>
        </w:rPr>
        <w:t>Доходы от оказания платных услуг (работ) и компенсации затрат государства</w:t>
      </w:r>
    </w:p>
    <w:p w:rsidR="003C1F18" w:rsidRPr="003C1F18" w:rsidRDefault="003C1F18" w:rsidP="00A823F1">
      <w:pPr>
        <w:ind w:firstLine="720"/>
        <w:jc w:val="both"/>
      </w:pPr>
      <w:r w:rsidRPr="003C1F18">
        <w:t xml:space="preserve">Прочие доходы от оказания платных услуг поступили в бюджет на сумму </w:t>
      </w:r>
      <w:r w:rsidR="0053261B">
        <w:t>1152,2</w:t>
      </w:r>
      <w:r w:rsidRPr="003C1F18">
        <w:t xml:space="preserve"> тыс. рублей или на </w:t>
      </w:r>
      <w:r w:rsidR="0053261B">
        <w:t>81</w:t>
      </w:r>
      <w:r w:rsidRPr="003C1F18">
        <w:t xml:space="preserve"> % от годового плана.</w:t>
      </w:r>
    </w:p>
    <w:p w:rsidR="00A823F1" w:rsidRDefault="00A823F1" w:rsidP="00A823F1">
      <w:pPr>
        <w:ind w:firstLine="720"/>
        <w:jc w:val="both"/>
        <w:rPr>
          <w:b/>
        </w:rPr>
      </w:pPr>
      <w:r>
        <w:rPr>
          <w:b/>
        </w:rPr>
        <w:t>Доходы от продажи материальных и нематериальных активов</w:t>
      </w:r>
    </w:p>
    <w:p w:rsidR="00A823F1" w:rsidRPr="00C75C7A" w:rsidRDefault="00A823F1" w:rsidP="00C75C7A">
      <w:pPr>
        <w:ind w:firstLine="720"/>
        <w:jc w:val="both"/>
      </w:pPr>
      <w:r>
        <w:t>Поступление доходов от продажи материальных и нематериальных активов (в части основных средств) в</w:t>
      </w:r>
      <w:r>
        <w:tab/>
        <w:t xml:space="preserve">бюджет кожууна составило в сумме </w:t>
      </w:r>
      <w:r w:rsidR="0053261B">
        <w:t>371,1</w:t>
      </w:r>
      <w:r w:rsidR="001D47E5">
        <w:t xml:space="preserve"> </w:t>
      </w:r>
      <w:r>
        <w:t xml:space="preserve"> тыс.</w:t>
      </w:r>
      <w:r w:rsidR="00C75C7A">
        <w:t xml:space="preserve"> </w:t>
      </w:r>
      <w:r>
        <w:t>руб</w:t>
      </w:r>
      <w:r w:rsidR="00C75C7A">
        <w:t>лей</w:t>
      </w:r>
      <w:r w:rsidR="003C1F18">
        <w:t xml:space="preserve"> или </w:t>
      </w:r>
      <w:r w:rsidR="0053261B">
        <w:t>123,7</w:t>
      </w:r>
      <w:r w:rsidR="002D3943">
        <w:t xml:space="preserve"> </w:t>
      </w:r>
      <w:r w:rsidR="003C1F18">
        <w:t>% от плана</w:t>
      </w:r>
      <w:r w:rsidR="00C75C7A">
        <w:t>.</w:t>
      </w:r>
      <w:r>
        <w:t xml:space="preserve"> </w:t>
      </w:r>
    </w:p>
    <w:p w:rsidR="00A823F1" w:rsidRDefault="00A823F1" w:rsidP="00A823F1">
      <w:pPr>
        <w:pStyle w:val="1"/>
        <w:rPr>
          <w:bCs/>
          <w:szCs w:val="24"/>
        </w:rPr>
      </w:pPr>
      <w:r>
        <w:rPr>
          <w:bCs/>
          <w:szCs w:val="24"/>
        </w:rPr>
        <w:t>Штрафы, санкции</w:t>
      </w:r>
    </w:p>
    <w:p w:rsidR="00A823F1" w:rsidRDefault="00A823F1" w:rsidP="00A823F1">
      <w:pPr>
        <w:ind w:firstLine="720"/>
        <w:jc w:val="both"/>
      </w:pPr>
      <w:r>
        <w:t xml:space="preserve">Плановые назначения по штрафным санкциям за </w:t>
      </w:r>
      <w:r w:rsidR="002D3943">
        <w:t>2</w:t>
      </w:r>
      <w:r>
        <w:t>01</w:t>
      </w:r>
      <w:r w:rsidR="0053261B">
        <w:t>6</w:t>
      </w:r>
      <w:r>
        <w:t xml:space="preserve"> год</w:t>
      </w:r>
      <w:r w:rsidR="001A42F0">
        <w:t xml:space="preserve"> исполнены</w:t>
      </w:r>
      <w:r>
        <w:t xml:space="preserve"> в сумме </w:t>
      </w:r>
      <w:r w:rsidR="0053261B">
        <w:t>531,1</w:t>
      </w:r>
      <w:r>
        <w:t xml:space="preserve"> тыс.</w:t>
      </w:r>
      <w:r w:rsidR="00C75C7A">
        <w:t xml:space="preserve"> </w:t>
      </w:r>
      <w:r>
        <w:t xml:space="preserve">рублей или </w:t>
      </w:r>
      <w:r w:rsidR="0053261B">
        <w:t>96,6</w:t>
      </w:r>
      <w:r w:rsidR="00C75C7A">
        <w:t>%</w:t>
      </w:r>
      <w:r w:rsidR="001A42F0">
        <w:t xml:space="preserve"> от годового плана</w:t>
      </w:r>
      <w:proofErr w:type="gramStart"/>
      <w:r w:rsidR="00C75C7A">
        <w:t>.</w:t>
      </w:r>
      <w:proofErr w:type="gramEnd"/>
      <w:r w:rsidR="0075063C">
        <w:t xml:space="preserve"> Из них штрафы, зачисляемые в бюджет кожууна от КДН в сумме 9 тыс. рублей. </w:t>
      </w:r>
      <w:r w:rsidR="00720AC7">
        <w:t>Прочие поступления</w:t>
      </w:r>
      <w:r w:rsidR="0075063C">
        <w:t xml:space="preserve"> от административной комиссии не </w:t>
      </w:r>
      <w:r w:rsidR="00720AC7">
        <w:t>бы</w:t>
      </w:r>
      <w:r w:rsidR="0075063C">
        <w:t>ло</w:t>
      </w:r>
      <w:r w:rsidR="00720AC7">
        <w:t xml:space="preserve"> в 2016 году</w:t>
      </w:r>
      <w:bookmarkStart w:id="0" w:name="_GoBack"/>
      <w:bookmarkEnd w:id="0"/>
      <w:r w:rsidR="0075063C">
        <w:t>.</w:t>
      </w:r>
    </w:p>
    <w:p w:rsidR="001A42F0" w:rsidRDefault="001A42F0" w:rsidP="00A823F1">
      <w:pPr>
        <w:ind w:firstLine="720"/>
        <w:jc w:val="both"/>
      </w:pPr>
    </w:p>
    <w:p w:rsidR="00357C6A" w:rsidRDefault="00357C6A" w:rsidP="00BF70D0">
      <w:pPr>
        <w:jc w:val="both"/>
      </w:pPr>
    </w:p>
    <w:p w:rsidR="00A823F1" w:rsidRPr="00103E5D" w:rsidRDefault="00A823F1" w:rsidP="00A823F1">
      <w:pPr>
        <w:ind w:firstLine="720"/>
        <w:jc w:val="both"/>
        <w:rPr>
          <w:b/>
          <w:highlight w:val="yellow"/>
        </w:rPr>
      </w:pPr>
      <w:r>
        <w:rPr>
          <w:b/>
        </w:rPr>
        <w:t xml:space="preserve">2.Проводимые мероприятия по увеличению поступлений налоговых и неналоговых </w:t>
      </w:r>
      <w:r w:rsidRPr="00E34E6D">
        <w:rPr>
          <w:b/>
        </w:rPr>
        <w:t>доходов, сокращению недоимки</w:t>
      </w:r>
      <w:r w:rsidR="00742969">
        <w:rPr>
          <w:b/>
        </w:rPr>
        <w:t>:</w:t>
      </w:r>
    </w:p>
    <w:p w:rsidR="00A823F1" w:rsidRPr="00103E5D" w:rsidRDefault="00A823F1" w:rsidP="00A823F1">
      <w:pPr>
        <w:ind w:firstLine="720"/>
        <w:jc w:val="both"/>
        <w:rPr>
          <w:highlight w:val="yellow"/>
        </w:rPr>
      </w:pPr>
    </w:p>
    <w:p w:rsidR="00357C6A" w:rsidRPr="00B279BE" w:rsidRDefault="00742969" w:rsidP="00357C6A">
      <w:pPr>
        <w:pStyle w:val="a5"/>
        <w:rPr>
          <w:szCs w:val="24"/>
        </w:rPr>
      </w:pPr>
      <w:r>
        <w:rPr>
          <w:szCs w:val="24"/>
        </w:rPr>
        <w:t>- м</w:t>
      </w:r>
      <w:r w:rsidR="00357C6A" w:rsidRPr="00B279BE">
        <w:rPr>
          <w:szCs w:val="24"/>
        </w:rPr>
        <w:t>ониторинг налоговых доходов</w:t>
      </w:r>
      <w:r>
        <w:rPr>
          <w:szCs w:val="24"/>
        </w:rPr>
        <w:t xml:space="preserve"> - </w:t>
      </w:r>
      <w:r w:rsidR="00357C6A" w:rsidRPr="00B279BE">
        <w:rPr>
          <w:szCs w:val="24"/>
        </w:rPr>
        <w:t>(налог на доходы физических лиц, единый налог на вмененный доход, единый сельскохозяйственный налог, налог на имущество ф</w:t>
      </w:r>
      <w:r>
        <w:rPr>
          <w:szCs w:val="24"/>
        </w:rPr>
        <w:t>изических лиц, земельный налог);</w:t>
      </w:r>
    </w:p>
    <w:p w:rsidR="00357C6A" w:rsidRPr="00B279BE" w:rsidRDefault="00742969" w:rsidP="00357C6A">
      <w:pPr>
        <w:pStyle w:val="a5"/>
        <w:rPr>
          <w:szCs w:val="24"/>
        </w:rPr>
      </w:pPr>
      <w:r>
        <w:rPr>
          <w:szCs w:val="24"/>
        </w:rPr>
        <w:t>- мониторинг н</w:t>
      </w:r>
      <w:r w:rsidR="00357C6A" w:rsidRPr="00B279BE">
        <w:rPr>
          <w:szCs w:val="24"/>
        </w:rPr>
        <w:t>еналоговых доходов – (аренда земли, имущества, доходы от продажи материальных и нематериальных активов, штр</w:t>
      </w:r>
      <w:r>
        <w:rPr>
          <w:szCs w:val="24"/>
        </w:rPr>
        <w:t>афы, прочие неналоговые доходы);</w:t>
      </w:r>
    </w:p>
    <w:p w:rsidR="00357C6A" w:rsidRPr="00B279BE" w:rsidRDefault="00742969" w:rsidP="00357C6A">
      <w:pPr>
        <w:pStyle w:val="a5"/>
        <w:rPr>
          <w:szCs w:val="24"/>
        </w:rPr>
      </w:pPr>
      <w:r>
        <w:rPr>
          <w:szCs w:val="24"/>
        </w:rPr>
        <w:t>- а</w:t>
      </w:r>
      <w:r w:rsidR="00357C6A" w:rsidRPr="00B279BE">
        <w:rPr>
          <w:szCs w:val="24"/>
        </w:rPr>
        <w:t>нализ задолженности и недоимки в разрезе налогоплательщиков (физических и юридических лиц), работа по ее взысканию совместно с налоговой инспекцией.</w:t>
      </w:r>
    </w:p>
    <w:p w:rsidR="00357C6A" w:rsidRPr="00B279BE" w:rsidRDefault="00BF70D0" w:rsidP="00357C6A">
      <w:pPr>
        <w:pStyle w:val="a5"/>
        <w:rPr>
          <w:szCs w:val="24"/>
        </w:rPr>
      </w:pPr>
      <w:r>
        <w:rPr>
          <w:szCs w:val="24"/>
        </w:rPr>
        <w:t>Ежеквартал</w:t>
      </w:r>
      <w:r w:rsidR="00357C6A" w:rsidRPr="00B279BE">
        <w:rPr>
          <w:szCs w:val="24"/>
        </w:rPr>
        <w:t xml:space="preserve">ьно </w:t>
      </w:r>
      <w:r>
        <w:rPr>
          <w:szCs w:val="24"/>
        </w:rPr>
        <w:t>п</w:t>
      </w:r>
      <w:r w:rsidR="00357C6A" w:rsidRPr="00B279BE">
        <w:rPr>
          <w:szCs w:val="24"/>
        </w:rPr>
        <w:t>роводят работу комиссия по недоимке и задолженностям</w:t>
      </w:r>
      <w:r>
        <w:rPr>
          <w:szCs w:val="24"/>
        </w:rPr>
        <w:t>,</w:t>
      </w:r>
      <w:r w:rsidR="00357C6A" w:rsidRPr="00B279BE">
        <w:rPr>
          <w:szCs w:val="24"/>
        </w:rPr>
        <w:t xml:space="preserve"> где заслушивают председателей и глав поселений также специалистов, представителей бюджетных учреждений.</w:t>
      </w:r>
    </w:p>
    <w:p w:rsidR="00357C6A" w:rsidRDefault="00357C6A" w:rsidP="00357C6A">
      <w:pPr>
        <w:pStyle w:val="a5"/>
        <w:ind w:right="71"/>
        <w:rPr>
          <w:szCs w:val="24"/>
        </w:rPr>
      </w:pPr>
      <w:r>
        <w:rPr>
          <w:szCs w:val="24"/>
        </w:rPr>
        <w:t xml:space="preserve">Администрацией целенаправленно начата работа по актуализации земельных и имущественных вопросов, также будет создана комиссия по инвентаризации, эффективного использования земель сельскохозяйственного назначения и вовлечения в оборот неиспользуемых сельскохозяйственных угодий и образования земельных участков в счет невостребованных долей. </w:t>
      </w:r>
    </w:p>
    <w:p w:rsidR="00357C6A" w:rsidRDefault="00357C6A" w:rsidP="00357C6A">
      <w:pPr>
        <w:ind w:firstLine="720"/>
        <w:jc w:val="both"/>
      </w:pPr>
      <w:r>
        <w:t>Невостребованные доли будут переоформлены в собственность муниципального района и переданы в аренду желающим использовать эти земли.</w:t>
      </w:r>
    </w:p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lastRenderedPageBreak/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201</w:t>
      </w:r>
      <w:r w:rsidR="00A47931">
        <w:rPr>
          <w:sz w:val="26"/>
          <w:szCs w:val="26"/>
        </w:rPr>
        <w:t>6</w:t>
      </w:r>
      <w:r w:rsidRPr="00FA5B72">
        <w:rPr>
          <w:sz w:val="26"/>
          <w:szCs w:val="26"/>
        </w:rPr>
        <w:t xml:space="preserve"> год</w:t>
      </w:r>
      <w:r w:rsidR="008445F8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исполнен</w:t>
      </w:r>
      <w:r w:rsidR="008445F8">
        <w:rPr>
          <w:sz w:val="26"/>
          <w:szCs w:val="26"/>
        </w:rPr>
        <w:t>о</w:t>
      </w:r>
      <w:r w:rsidRPr="00FA5B72">
        <w:rPr>
          <w:sz w:val="26"/>
          <w:szCs w:val="26"/>
        </w:rPr>
        <w:t xml:space="preserve"> в сумме </w:t>
      </w:r>
      <w:r w:rsidR="002E7F8C">
        <w:rPr>
          <w:sz w:val="26"/>
          <w:szCs w:val="26"/>
        </w:rPr>
        <w:t>427629,9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2E7F8C">
        <w:rPr>
          <w:sz w:val="26"/>
          <w:szCs w:val="26"/>
        </w:rPr>
        <w:t>432479,31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2E7F8C">
        <w:rPr>
          <w:sz w:val="26"/>
          <w:szCs w:val="26"/>
        </w:rPr>
        <w:t>98,9</w:t>
      </w:r>
      <w:r w:rsidRPr="00FA5B72">
        <w:rPr>
          <w:sz w:val="26"/>
          <w:szCs w:val="26"/>
        </w:rPr>
        <w:t xml:space="preserve"> процент</w:t>
      </w:r>
      <w:r w:rsidR="008445F8">
        <w:rPr>
          <w:sz w:val="26"/>
          <w:szCs w:val="26"/>
        </w:rPr>
        <w:t>ов</w:t>
      </w:r>
      <w:r w:rsidRPr="00FA5B72">
        <w:rPr>
          <w:sz w:val="26"/>
          <w:szCs w:val="26"/>
        </w:rPr>
        <w:t xml:space="preserve"> к уточненной годовой бюджетной росписи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A30F0D">
        <w:rPr>
          <w:sz w:val="26"/>
          <w:szCs w:val="26"/>
        </w:rPr>
        <w:t>5</w:t>
      </w:r>
      <w:r w:rsidRPr="00FA5B72">
        <w:rPr>
          <w:sz w:val="26"/>
          <w:szCs w:val="26"/>
        </w:rPr>
        <w:t xml:space="preserve"> года расходы р</w:t>
      </w:r>
      <w:r w:rsidR="00A77537">
        <w:rPr>
          <w:sz w:val="26"/>
          <w:szCs w:val="26"/>
        </w:rPr>
        <w:t>а</w:t>
      </w:r>
      <w:r w:rsidR="00F30CED">
        <w:rPr>
          <w:sz w:val="26"/>
          <w:szCs w:val="26"/>
        </w:rPr>
        <w:t xml:space="preserve">йонного бюджета увеличились на </w:t>
      </w:r>
      <w:r w:rsidR="00737A57">
        <w:rPr>
          <w:sz w:val="26"/>
          <w:szCs w:val="26"/>
        </w:rPr>
        <w:t>52284,8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</w:t>
      </w:r>
      <w:r w:rsidR="00F30CED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201</w:t>
      </w:r>
      <w:r w:rsidR="00737A57">
        <w:rPr>
          <w:sz w:val="26"/>
          <w:szCs w:val="26"/>
        </w:rPr>
        <w:t>6</w:t>
      </w:r>
      <w:r w:rsidRPr="00FA5B72">
        <w:rPr>
          <w:sz w:val="26"/>
          <w:szCs w:val="26"/>
        </w:rPr>
        <w:t xml:space="preserve"> год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351"/>
        <w:gridCol w:w="1381"/>
        <w:gridCol w:w="1321"/>
        <w:gridCol w:w="1240"/>
        <w:gridCol w:w="1058"/>
        <w:gridCol w:w="1058"/>
        <w:gridCol w:w="1315"/>
        <w:gridCol w:w="1016"/>
      </w:tblGrid>
      <w:tr w:rsidR="00E431D1" w:rsidRPr="009718CE" w:rsidTr="00144D30">
        <w:trPr>
          <w:trHeight w:val="20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E431D1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Утвержден</w:t>
            </w:r>
            <w:r>
              <w:rPr>
                <w:bCs/>
                <w:sz w:val="20"/>
              </w:rPr>
              <w:t>ный</w:t>
            </w:r>
          </w:p>
          <w:p w:rsidR="00E431D1" w:rsidRDefault="00E431D1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E431D1" w:rsidRPr="00E6646D" w:rsidRDefault="00E431D1" w:rsidP="00484E1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484E1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Уточненная бюджетная роспись на  </w:t>
            </w:r>
            <w:r>
              <w:rPr>
                <w:bCs/>
                <w:sz w:val="20"/>
              </w:rPr>
              <w:t>2016</w:t>
            </w:r>
            <w:r w:rsidRPr="00E6646D">
              <w:rPr>
                <w:bCs/>
                <w:sz w:val="20"/>
              </w:rPr>
              <w:t xml:space="preserve">год,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484E1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Исполнено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2016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1D1" w:rsidRDefault="00E431D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E431D1" w:rsidRDefault="00E431D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E431D1" w:rsidRPr="00E6646D" w:rsidRDefault="00C00DBB" w:rsidP="00E431D1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</w:t>
            </w:r>
            <w:r w:rsidR="00E431D1">
              <w:rPr>
                <w:bCs/>
                <w:sz w:val="20"/>
              </w:rPr>
              <w:t xml:space="preserve">сполнено за </w:t>
            </w:r>
            <w:r w:rsidR="00E431D1" w:rsidRPr="00E6646D">
              <w:rPr>
                <w:bCs/>
                <w:sz w:val="20"/>
              </w:rPr>
              <w:t xml:space="preserve"> </w:t>
            </w:r>
            <w:r w:rsidR="00E431D1">
              <w:rPr>
                <w:bCs/>
                <w:sz w:val="20"/>
              </w:rPr>
              <w:t xml:space="preserve"> 2015</w:t>
            </w:r>
            <w:r w:rsidR="00E431D1" w:rsidRPr="00E6646D">
              <w:rPr>
                <w:bCs/>
                <w:sz w:val="20"/>
              </w:rPr>
              <w:t xml:space="preserve"> г., </w:t>
            </w:r>
            <w:proofErr w:type="spellStart"/>
            <w:r w:rsidR="00E431D1" w:rsidRPr="00E6646D">
              <w:rPr>
                <w:bCs/>
                <w:sz w:val="20"/>
              </w:rPr>
              <w:t>тыс</w:t>
            </w:r>
            <w:proofErr w:type="gramStart"/>
            <w:r w:rsidR="00E431D1" w:rsidRPr="00E6646D">
              <w:rPr>
                <w:bCs/>
                <w:sz w:val="20"/>
              </w:rPr>
              <w:t>.р</w:t>
            </w:r>
            <w:proofErr w:type="gramEnd"/>
            <w:r w:rsidR="00E431D1"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E431D1" w:rsidRPr="00E6646D" w:rsidRDefault="00E431D1" w:rsidP="0086433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% </w:t>
            </w:r>
            <w:proofErr w:type="spellStart"/>
            <w:proofErr w:type="gramStart"/>
            <w:r w:rsidRPr="00E6646D">
              <w:rPr>
                <w:bCs/>
                <w:sz w:val="20"/>
              </w:rPr>
              <w:t>исполне-ния</w:t>
            </w:r>
            <w:proofErr w:type="spellEnd"/>
            <w:proofErr w:type="gramEnd"/>
            <w:r w:rsidRPr="00E6646D">
              <w:rPr>
                <w:bCs/>
                <w:sz w:val="20"/>
              </w:rPr>
              <w:t xml:space="preserve"> к </w:t>
            </w:r>
            <w:r>
              <w:rPr>
                <w:bCs/>
                <w:sz w:val="20"/>
              </w:rPr>
              <w:t>уточненному</w:t>
            </w:r>
            <w:r w:rsidRPr="00E6646D">
              <w:rPr>
                <w:bCs/>
                <w:sz w:val="20"/>
              </w:rPr>
              <w:t xml:space="preserve"> плану  </w:t>
            </w:r>
            <w:r w:rsidR="00E11E63">
              <w:rPr>
                <w:bCs/>
                <w:sz w:val="20"/>
              </w:rPr>
              <w:t xml:space="preserve">2016 </w:t>
            </w:r>
            <w:r w:rsidRPr="00E6646D">
              <w:rPr>
                <w:bCs/>
                <w:sz w:val="20"/>
              </w:rPr>
              <w:t>года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E431D1" w:rsidRPr="00E6646D" w:rsidRDefault="00E431D1" w:rsidP="00692E18">
            <w:pPr>
              <w:pStyle w:val="a7"/>
              <w:keepNext/>
              <w:widowControl w:val="0"/>
              <w:ind w:right="-6" w:firstLine="9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% </w:t>
            </w:r>
            <w:r w:rsidR="00323E60">
              <w:rPr>
                <w:bCs/>
                <w:sz w:val="20"/>
              </w:rPr>
              <w:t>изменения</w:t>
            </w:r>
            <w:r w:rsidRPr="00E6646D">
              <w:rPr>
                <w:bCs/>
                <w:sz w:val="20"/>
              </w:rPr>
              <w:t xml:space="preserve"> к </w:t>
            </w:r>
            <w:r w:rsidR="00C00DBB">
              <w:rPr>
                <w:bCs/>
                <w:sz w:val="20"/>
              </w:rPr>
              <w:t>исполнению 2015 года</w:t>
            </w:r>
          </w:p>
          <w:p w:rsidR="00E431D1" w:rsidRPr="00E6646D" w:rsidRDefault="00E431D1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E6646D">
              <w:rPr>
                <w:bCs/>
                <w:sz w:val="20"/>
              </w:rPr>
              <w:t>Удель-ный</w:t>
            </w:r>
            <w:proofErr w:type="spellEnd"/>
            <w:proofErr w:type="gramEnd"/>
            <w:r w:rsidRPr="00E6646D">
              <w:rPr>
                <w:bCs/>
                <w:sz w:val="20"/>
              </w:rPr>
              <w:t xml:space="preserve"> вес</w:t>
            </w:r>
          </w:p>
          <w:p w:rsidR="00E431D1" w:rsidRPr="00E6646D" w:rsidRDefault="00E431D1" w:rsidP="00484E1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>расходов             за 2016 г,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E431D1" w:rsidRPr="009718CE" w:rsidTr="00144D30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26238,9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CA69E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31209,2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30746,8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29530,2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 w:firstLine="1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</w:t>
            </w:r>
          </w:p>
        </w:tc>
      </w:tr>
      <w:tr w:rsidR="00E431D1" w:rsidRPr="009718CE" w:rsidTr="00144D30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8220F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</w:tr>
      <w:tr w:rsidR="00E431D1" w:rsidRPr="009718CE" w:rsidTr="00144D30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1280,9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1195,1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1057,1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A6B87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E431D1" w:rsidRPr="009718CE" w:rsidTr="00144D30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11141,2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14957,4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14611,6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7585,5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</w:t>
            </w:r>
          </w:p>
        </w:tc>
      </w:tr>
      <w:tr w:rsidR="00E431D1" w:rsidRPr="009718CE" w:rsidTr="00144D30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337,8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8220F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</w:tr>
      <w:tr w:rsidR="00E431D1" w:rsidRPr="009718CE" w:rsidTr="00144D30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356534,8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82764F" w:rsidP="00952E5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373631,4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82764F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369702,2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326441,8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86,5</w:t>
            </w:r>
          </w:p>
        </w:tc>
      </w:tr>
      <w:tr w:rsidR="00E431D1" w:rsidRPr="009718CE" w:rsidTr="00144D30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260129,9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771A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284266,5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280697,4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242849,3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</w:tr>
      <w:tr w:rsidR="00E431D1" w:rsidRPr="009718CE" w:rsidTr="00144D30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35627,2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36388,6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35B5B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36106,8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28787,8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E35B5B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E431D1" w:rsidRPr="009718CE" w:rsidTr="00144D30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E431D1" w:rsidRPr="00624683" w:rsidRDefault="00E431D1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информации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Default="00E431D1" w:rsidP="00F5543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424,6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Default="00762E13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Default="00D167D0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E431D1" w:rsidRPr="009718CE" w:rsidTr="00144D30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59742,7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762E13" w:rsidP="00CA69E3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52510,3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52432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54072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762E13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E431D1" w:rsidRPr="009718CE" w:rsidTr="00144D30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5E6A23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5E6A23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E7411" w:rsidRDefault="00762E13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E431D1" w:rsidRPr="009718CE" w:rsidTr="00144D30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740571" w:rsidP="00FD6A3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762E13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1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D1" w:rsidRDefault="00D167D0" w:rsidP="008220FD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E431D1" w:rsidRPr="009718CE" w:rsidTr="00144D30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5E6A23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5E6A23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762E13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0,005</w:t>
            </w:r>
          </w:p>
        </w:tc>
      </w:tr>
      <w:tr w:rsidR="00E431D1" w:rsidRPr="009718CE" w:rsidTr="00144D30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10429,6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10205,7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5E6A23" w:rsidRDefault="00762E13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10093,7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5E6A23" w:rsidRDefault="00E431D1" w:rsidP="00FD6A3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E7411" w:rsidRDefault="00762E13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31D1" w:rsidRPr="00E6646D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E431D1" w:rsidRPr="00E6646D" w:rsidRDefault="00D167D0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2,4</w:t>
            </w:r>
          </w:p>
        </w:tc>
      </w:tr>
      <w:tr w:rsidR="00E431D1" w:rsidRPr="009718CE" w:rsidTr="00144D30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31D1" w:rsidRPr="00624683" w:rsidRDefault="00E431D1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3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31D1" w:rsidRPr="00E60B23" w:rsidRDefault="00E431D1" w:rsidP="00692E1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406457,4</w:t>
            </w:r>
          </w:p>
        </w:tc>
        <w:tc>
          <w:tcPr>
            <w:tcW w:w="13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31D1" w:rsidRPr="00E60B23" w:rsidRDefault="006B5269" w:rsidP="00692E1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432479,31</w:t>
            </w: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431D1" w:rsidRPr="00E60B23" w:rsidRDefault="006B5269" w:rsidP="00093A8C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427629,9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</w:tcPr>
          <w:p w:rsidR="00E431D1" w:rsidRDefault="00E431D1" w:rsidP="00E431D1">
            <w:pPr>
              <w:pStyle w:val="a7"/>
              <w:keepNext/>
              <w:widowControl w:val="0"/>
              <w:ind w:right="-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375345,1</w:t>
            </w:r>
          </w:p>
        </w:tc>
        <w:tc>
          <w:tcPr>
            <w:tcW w:w="1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31D1" w:rsidRPr="00E60B23" w:rsidRDefault="006B5269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98,9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31D1" w:rsidRPr="00E60B23" w:rsidRDefault="00323E60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113,9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431D1" w:rsidRPr="00E60B23" w:rsidRDefault="006D66B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>
        <w:rPr>
          <w:sz w:val="26"/>
          <w:szCs w:val="26"/>
        </w:rPr>
        <w:t>8</w:t>
      </w:r>
      <w:r w:rsidR="00501F2A">
        <w:rPr>
          <w:sz w:val="26"/>
          <w:szCs w:val="26"/>
        </w:rPr>
        <w:t>6,5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процентов (из них: на образование –</w:t>
      </w:r>
      <w:r w:rsidR="00501F2A">
        <w:rPr>
          <w:sz w:val="26"/>
          <w:szCs w:val="26"/>
        </w:rPr>
        <w:t>65,6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501F2A">
        <w:rPr>
          <w:sz w:val="26"/>
          <w:szCs w:val="26"/>
        </w:rPr>
        <w:t>12,3</w:t>
      </w:r>
      <w:r w:rsidR="00CB3B12">
        <w:rPr>
          <w:sz w:val="26"/>
          <w:szCs w:val="26"/>
        </w:rPr>
        <w:t xml:space="preserve"> процентов</w:t>
      </w:r>
      <w:r w:rsidRPr="00FA5B72">
        <w:rPr>
          <w:sz w:val="26"/>
          <w:szCs w:val="26"/>
        </w:rPr>
        <w:t>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proofErr w:type="gramStart"/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являлись расходы на выплату заработной платы с начислениями работникам бюджетной сферы – </w:t>
      </w:r>
      <w:r w:rsidR="000E4E52">
        <w:rPr>
          <w:sz w:val="26"/>
          <w:szCs w:val="26"/>
        </w:rPr>
        <w:t>315326,9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A56B41">
        <w:rPr>
          <w:sz w:val="26"/>
          <w:szCs w:val="26"/>
        </w:rPr>
        <w:t>7</w:t>
      </w:r>
      <w:r w:rsidR="000E4E52">
        <w:rPr>
          <w:sz w:val="26"/>
          <w:szCs w:val="26"/>
        </w:rPr>
        <w:t>3,7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расходов),</w:t>
      </w:r>
      <w:r w:rsidR="007317F5">
        <w:rPr>
          <w:sz w:val="26"/>
          <w:szCs w:val="26"/>
        </w:rPr>
        <w:t xml:space="preserve"> а по сравнению с аналогичным перио</w:t>
      </w:r>
      <w:r w:rsidR="005D1527">
        <w:rPr>
          <w:sz w:val="26"/>
          <w:szCs w:val="26"/>
        </w:rPr>
        <w:t>дом 201</w:t>
      </w:r>
      <w:r w:rsidR="000E4E52">
        <w:rPr>
          <w:sz w:val="26"/>
          <w:szCs w:val="26"/>
        </w:rPr>
        <w:t>5</w:t>
      </w:r>
      <w:r w:rsidR="005D1527">
        <w:rPr>
          <w:sz w:val="26"/>
          <w:szCs w:val="26"/>
        </w:rPr>
        <w:t xml:space="preserve"> года</w:t>
      </w:r>
      <w:r w:rsidR="009C7223">
        <w:rPr>
          <w:sz w:val="26"/>
          <w:szCs w:val="26"/>
        </w:rPr>
        <w:t xml:space="preserve"> (273358,5)</w:t>
      </w:r>
      <w:r w:rsidR="005D1527">
        <w:rPr>
          <w:sz w:val="26"/>
          <w:szCs w:val="26"/>
        </w:rPr>
        <w:t xml:space="preserve"> выросли </w:t>
      </w:r>
      <w:r w:rsidR="000E4E52">
        <w:rPr>
          <w:sz w:val="26"/>
          <w:szCs w:val="26"/>
        </w:rPr>
        <w:t xml:space="preserve">расходы </w:t>
      </w:r>
      <w:r w:rsidR="005D1527">
        <w:rPr>
          <w:sz w:val="26"/>
          <w:szCs w:val="26"/>
        </w:rPr>
        <w:t xml:space="preserve">на сумму </w:t>
      </w:r>
      <w:r w:rsidR="000E4E52">
        <w:rPr>
          <w:sz w:val="26"/>
          <w:szCs w:val="26"/>
        </w:rPr>
        <w:t>41968,4</w:t>
      </w:r>
      <w:r w:rsidR="007317F5">
        <w:rPr>
          <w:sz w:val="26"/>
          <w:szCs w:val="26"/>
        </w:rPr>
        <w:t xml:space="preserve"> тыс. рублей,</w:t>
      </w:r>
      <w:r w:rsidRPr="00FA5B72">
        <w:rPr>
          <w:sz w:val="26"/>
          <w:szCs w:val="26"/>
        </w:rPr>
        <w:t xml:space="preserve"> оплата коммунальных услуг – 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642D6E">
        <w:rPr>
          <w:sz w:val="26"/>
          <w:szCs w:val="26"/>
        </w:rPr>
        <w:t>17</w:t>
      </w:r>
      <w:r w:rsidR="009C7223">
        <w:rPr>
          <w:sz w:val="26"/>
          <w:szCs w:val="26"/>
        </w:rPr>
        <w:t>785,2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9C7223">
        <w:rPr>
          <w:sz w:val="26"/>
          <w:szCs w:val="26"/>
        </w:rPr>
        <w:t>4,2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A56B41">
        <w:rPr>
          <w:sz w:val="26"/>
          <w:szCs w:val="26"/>
        </w:rPr>
        <w:t>, по</w:t>
      </w:r>
      <w:r w:rsidR="00A56B41" w:rsidRPr="00A56B41">
        <w:rPr>
          <w:sz w:val="26"/>
          <w:szCs w:val="26"/>
        </w:rPr>
        <w:t xml:space="preserve"> </w:t>
      </w:r>
      <w:r w:rsidR="00A56B41">
        <w:rPr>
          <w:sz w:val="26"/>
          <w:szCs w:val="26"/>
        </w:rPr>
        <w:t>сравнению с аналогичным периодом</w:t>
      </w:r>
      <w:proofErr w:type="gramEnd"/>
      <w:r w:rsidR="00A56B41">
        <w:rPr>
          <w:sz w:val="26"/>
          <w:szCs w:val="26"/>
        </w:rPr>
        <w:t xml:space="preserve"> 201</w:t>
      </w:r>
      <w:r w:rsidR="009C7223">
        <w:rPr>
          <w:sz w:val="26"/>
          <w:szCs w:val="26"/>
        </w:rPr>
        <w:t>5</w:t>
      </w:r>
      <w:r w:rsidR="00A56B41">
        <w:rPr>
          <w:sz w:val="26"/>
          <w:szCs w:val="26"/>
        </w:rPr>
        <w:t xml:space="preserve"> года выросли на сумму </w:t>
      </w:r>
      <w:r w:rsidR="009C7223">
        <w:rPr>
          <w:sz w:val="26"/>
          <w:szCs w:val="26"/>
        </w:rPr>
        <w:t>598,2</w:t>
      </w:r>
      <w:r w:rsidR="00A56B41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9C7223">
        <w:rPr>
          <w:sz w:val="26"/>
          <w:szCs w:val="26"/>
        </w:rPr>
        <w:t>10093,7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</w:t>
      </w:r>
      <w:r w:rsidR="00642D6E">
        <w:rPr>
          <w:sz w:val="26"/>
          <w:szCs w:val="26"/>
        </w:rPr>
        <w:t xml:space="preserve">  </w:t>
      </w:r>
      <w:r w:rsidRPr="00FA5B72">
        <w:rPr>
          <w:sz w:val="26"/>
          <w:szCs w:val="26"/>
        </w:rPr>
        <w:t>(</w:t>
      </w:r>
      <w:r w:rsidR="005D1527">
        <w:rPr>
          <w:sz w:val="26"/>
          <w:szCs w:val="26"/>
        </w:rPr>
        <w:t>2,</w:t>
      </w:r>
      <w:r w:rsidR="009C722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E639EE" w:rsidRDefault="00E639EE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выплату заработной платы работникам бюджетной сферы по отчетным данным направлено 315326,9 тыс. рублей или на 41968,4 тыс. рублей больше 2015 года.</w:t>
      </w:r>
      <w:r w:rsidR="007757AA">
        <w:rPr>
          <w:sz w:val="26"/>
          <w:szCs w:val="26"/>
        </w:rPr>
        <w:t xml:space="preserve"> По </w:t>
      </w:r>
      <w:r w:rsidR="00ED02AC">
        <w:rPr>
          <w:sz w:val="26"/>
          <w:szCs w:val="26"/>
        </w:rPr>
        <w:t xml:space="preserve">первоначальному </w:t>
      </w:r>
      <w:r w:rsidR="007757AA">
        <w:rPr>
          <w:sz w:val="26"/>
          <w:szCs w:val="26"/>
        </w:rPr>
        <w:t>утвержденному бюджету</w:t>
      </w:r>
      <w:r w:rsidR="00ED02AC">
        <w:rPr>
          <w:sz w:val="26"/>
          <w:szCs w:val="26"/>
        </w:rPr>
        <w:t xml:space="preserve"> за 2016 год фонд оплаты труда составила 299419,3 тыс. рублей, на конец года уточненный план составил 319628 тыс. рублей. В течение 2016 года дополнительно направлено на фонд оплаты труда 20208,7 тыс. рублей. Это удалось за счет внутреннего перераспределения с других статьей бюджета и дополнительной помощи из республиканского бюджета.</w:t>
      </w:r>
      <w:r w:rsidR="00D45C3D">
        <w:rPr>
          <w:sz w:val="26"/>
          <w:szCs w:val="26"/>
        </w:rPr>
        <w:t xml:space="preserve"> Из собственных доходов кожууна на выплату заработной пла</w:t>
      </w:r>
      <w:r w:rsidR="00880989">
        <w:rPr>
          <w:sz w:val="26"/>
          <w:szCs w:val="26"/>
        </w:rPr>
        <w:t>ты выделено 18156,8 тыс. рублей или 62,9% к общей сумме собственных доходов (28869,3 тыс. рублей).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за </w:t>
      </w:r>
      <w:r w:rsidR="00591799">
        <w:rPr>
          <w:sz w:val="26"/>
        </w:rPr>
        <w:t xml:space="preserve"> </w:t>
      </w:r>
      <w:r w:rsidRPr="007539C8">
        <w:rPr>
          <w:sz w:val="26"/>
        </w:rPr>
        <w:t>201</w:t>
      </w:r>
      <w:r w:rsidR="00233EA3">
        <w:rPr>
          <w:sz w:val="26"/>
        </w:rPr>
        <w:t>6</w:t>
      </w:r>
      <w:r w:rsidRPr="007539C8">
        <w:rPr>
          <w:sz w:val="26"/>
        </w:rPr>
        <w:t xml:space="preserve"> год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233EA3">
        <w:rPr>
          <w:sz w:val="26"/>
        </w:rPr>
        <w:t>30746,8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233EA3">
        <w:rPr>
          <w:sz w:val="26"/>
        </w:rPr>
        <w:t>98,5</w:t>
      </w:r>
      <w:r>
        <w:rPr>
          <w:sz w:val="26"/>
        </w:rPr>
        <w:t xml:space="preserve"> процентов к уточненной годовой бюджетной росписи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</w:t>
      </w:r>
      <w:r w:rsidR="00233EA3">
        <w:rPr>
          <w:sz w:val="26"/>
        </w:rPr>
        <w:t>увеличение</w:t>
      </w:r>
      <w:r>
        <w:rPr>
          <w:sz w:val="26"/>
        </w:rPr>
        <w:t xml:space="preserve"> расходов на </w:t>
      </w:r>
      <w:r w:rsidR="00233EA3">
        <w:rPr>
          <w:sz w:val="26"/>
        </w:rPr>
        <w:t>1216,6</w:t>
      </w:r>
      <w:r w:rsidR="007317F5">
        <w:rPr>
          <w:sz w:val="26"/>
        </w:rPr>
        <w:t xml:space="preserve"> тыс. рублей.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233EA3">
        <w:rPr>
          <w:sz w:val="26"/>
        </w:rPr>
        <w:t>1049</w:t>
      </w:r>
      <w:r w:rsidR="00975370">
        <w:rPr>
          <w:sz w:val="26"/>
        </w:rPr>
        <w:t>,1</w:t>
      </w:r>
      <w:r w:rsidRPr="00822F19">
        <w:rPr>
          <w:sz w:val="26"/>
        </w:rPr>
        <w:t xml:space="preserve"> тыс. рублей</w:t>
      </w:r>
      <w:r w:rsidR="005262B4">
        <w:rPr>
          <w:sz w:val="26"/>
        </w:rPr>
        <w:t>, по сравнению с аналогичным периодом 201</w:t>
      </w:r>
      <w:r w:rsidR="00975370">
        <w:rPr>
          <w:sz w:val="26"/>
        </w:rPr>
        <w:t>5</w:t>
      </w:r>
      <w:r w:rsidR="005262B4">
        <w:rPr>
          <w:sz w:val="26"/>
        </w:rPr>
        <w:t xml:space="preserve"> года произошло уменьшение на сумму </w:t>
      </w:r>
      <w:r w:rsidR="00975370">
        <w:rPr>
          <w:sz w:val="26"/>
        </w:rPr>
        <w:t>92,5</w:t>
      </w:r>
      <w:r w:rsidR="005262B4">
        <w:rPr>
          <w:sz w:val="26"/>
        </w:rPr>
        <w:t xml:space="preserve"> тыс. рублей</w:t>
      </w:r>
      <w:r w:rsidR="004B07FF">
        <w:rPr>
          <w:sz w:val="26"/>
        </w:rPr>
        <w:t>;</w:t>
      </w:r>
    </w:p>
    <w:p w:rsidR="004B07FF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5262B4">
        <w:rPr>
          <w:sz w:val="26"/>
        </w:rPr>
        <w:t xml:space="preserve"> </w:t>
      </w:r>
      <w:r>
        <w:rPr>
          <w:sz w:val="26"/>
        </w:rPr>
        <w:t xml:space="preserve">содержание главы и аппарата представительного органа муниципального района— </w:t>
      </w:r>
      <w:r w:rsidR="00975370">
        <w:rPr>
          <w:sz w:val="26"/>
        </w:rPr>
        <w:t>2913,3</w:t>
      </w:r>
      <w:r>
        <w:rPr>
          <w:sz w:val="26"/>
        </w:rPr>
        <w:t xml:space="preserve"> тыс. рублей</w:t>
      </w:r>
      <w:r w:rsidR="00FC7894">
        <w:rPr>
          <w:sz w:val="26"/>
        </w:rPr>
        <w:t>,</w:t>
      </w:r>
      <w:r w:rsidR="00FC7894" w:rsidRPr="00FC7894">
        <w:rPr>
          <w:sz w:val="26"/>
        </w:rPr>
        <w:t xml:space="preserve"> </w:t>
      </w:r>
      <w:r w:rsidR="00FC7894">
        <w:rPr>
          <w:sz w:val="26"/>
        </w:rPr>
        <w:t>по сравнению с аналогичным периодом 201</w:t>
      </w:r>
      <w:r w:rsidR="00975370">
        <w:rPr>
          <w:sz w:val="26"/>
        </w:rPr>
        <w:t>5</w:t>
      </w:r>
      <w:r w:rsidR="00FC7894">
        <w:rPr>
          <w:sz w:val="26"/>
        </w:rPr>
        <w:t xml:space="preserve"> года </w:t>
      </w:r>
      <w:r w:rsidR="00975370">
        <w:rPr>
          <w:sz w:val="26"/>
        </w:rPr>
        <w:t>увеличили</w:t>
      </w:r>
      <w:r w:rsidR="00FC7894">
        <w:rPr>
          <w:sz w:val="26"/>
        </w:rPr>
        <w:t xml:space="preserve">сь расходы на сумму </w:t>
      </w:r>
      <w:r w:rsidR="00975370">
        <w:rPr>
          <w:sz w:val="26"/>
        </w:rPr>
        <w:t>53,3</w:t>
      </w:r>
      <w:r w:rsidR="00FC7894">
        <w:rPr>
          <w:sz w:val="26"/>
        </w:rPr>
        <w:t xml:space="preserve"> тыс. рублей</w:t>
      </w:r>
      <w:r w:rsidR="008D5517">
        <w:rPr>
          <w:sz w:val="26"/>
        </w:rPr>
        <w:t>. На выплату заработной платы направлено 2611,9 тыс. рублей, что на 0,8 тыс. рублей меньше чем в 2015 году (2612,7 тыс. руб.). На содержание выделено 301,4 тыс. рублей, а к уровню 2015 года увеличились расходы на 54,1 тыс. рублей</w:t>
      </w:r>
      <w:r w:rsidR="004B07FF">
        <w:rPr>
          <w:sz w:val="26"/>
        </w:rPr>
        <w:t>;</w:t>
      </w:r>
    </w:p>
    <w:p w:rsidR="004B07FF" w:rsidRDefault="004B07FF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A823F1" w:rsidRPr="00822F19">
        <w:rPr>
          <w:sz w:val="26"/>
        </w:rPr>
        <w:t xml:space="preserve"> содержание финансового управления администрации района</w:t>
      </w:r>
      <w:r w:rsidR="00A823F1">
        <w:rPr>
          <w:sz w:val="26"/>
        </w:rPr>
        <w:t xml:space="preserve"> и контрольного органа </w:t>
      </w:r>
      <w:r w:rsidR="00A823F1" w:rsidRPr="00822F19">
        <w:rPr>
          <w:sz w:val="26"/>
        </w:rPr>
        <w:t xml:space="preserve"> </w:t>
      </w:r>
      <w:r w:rsidR="00A823F1">
        <w:rPr>
          <w:sz w:val="26"/>
        </w:rPr>
        <w:t xml:space="preserve">- </w:t>
      </w:r>
      <w:r w:rsidR="00975370">
        <w:rPr>
          <w:sz w:val="26"/>
        </w:rPr>
        <w:t>68</w:t>
      </w:r>
      <w:r w:rsidR="00F14FD2">
        <w:rPr>
          <w:sz w:val="26"/>
        </w:rPr>
        <w:t>54,9</w:t>
      </w:r>
      <w:r w:rsidR="00A823F1">
        <w:rPr>
          <w:sz w:val="26"/>
        </w:rPr>
        <w:t xml:space="preserve">  тыс. рублей</w:t>
      </w:r>
      <w:r w:rsidR="00FC7894">
        <w:rPr>
          <w:sz w:val="26"/>
        </w:rPr>
        <w:t>,</w:t>
      </w:r>
      <w:r w:rsidR="00FC7894" w:rsidRPr="00FC7894">
        <w:rPr>
          <w:sz w:val="26"/>
        </w:rPr>
        <w:t xml:space="preserve"> </w:t>
      </w:r>
      <w:r w:rsidR="00FC7894">
        <w:rPr>
          <w:sz w:val="26"/>
        </w:rPr>
        <w:t>по сравнению с аналогичным периодом 201</w:t>
      </w:r>
      <w:r w:rsidR="00975370">
        <w:rPr>
          <w:sz w:val="26"/>
        </w:rPr>
        <w:t>5</w:t>
      </w:r>
      <w:r w:rsidR="00FC7894">
        <w:rPr>
          <w:sz w:val="26"/>
        </w:rPr>
        <w:t xml:space="preserve"> года произошло уменьшение на сумму </w:t>
      </w:r>
      <w:r w:rsidR="00975370">
        <w:rPr>
          <w:sz w:val="26"/>
        </w:rPr>
        <w:t>2</w:t>
      </w:r>
      <w:r w:rsidR="00F14FD2">
        <w:rPr>
          <w:sz w:val="26"/>
        </w:rPr>
        <w:t>29,9</w:t>
      </w:r>
      <w:r w:rsidR="00FC7894">
        <w:rPr>
          <w:sz w:val="26"/>
        </w:rPr>
        <w:t xml:space="preserve"> тыс. рублей</w:t>
      </w:r>
      <w:r w:rsidR="003A4015">
        <w:rPr>
          <w:sz w:val="26"/>
        </w:rPr>
        <w:t>. На выплату заработной платы направлено 6125,9 тыс. рублей</w:t>
      </w:r>
      <w:r w:rsidR="00F14FD2">
        <w:rPr>
          <w:sz w:val="26"/>
        </w:rPr>
        <w:t>, что на 320,5 тыс. рублей снизились расходы по сравнению с 2015 годом (6446,4 тыс. руб.). На содержание аппарата выделено 729 тыс. рублей и на 90,6 тыс. рублей больше чем в 2015 году</w:t>
      </w:r>
      <w:r>
        <w:rPr>
          <w:sz w:val="26"/>
        </w:rPr>
        <w:t>;</w:t>
      </w:r>
    </w:p>
    <w:p w:rsidR="004B07FF" w:rsidRDefault="004B07FF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</w:t>
      </w:r>
      <w:r w:rsidR="00A823F1" w:rsidRPr="00822F19">
        <w:rPr>
          <w:b/>
          <w:i/>
          <w:sz w:val="26"/>
        </w:rPr>
        <w:t xml:space="preserve"> </w:t>
      </w:r>
      <w:r w:rsidR="00A823F1" w:rsidRPr="00822F19">
        <w:rPr>
          <w:sz w:val="26"/>
        </w:rPr>
        <w:t>обеспечение деятельности администрации М</w:t>
      </w:r>
      <w:r w:rsidR="00A823F1">
        <w:rPr>
          <w:sz w:val="26"/>
        </w:rPr>
        <w:t>Р</w:t>
      </w:r>
      <w:r w:rsidR="00A823F1" w:rsidRPr="00822F19">
        <w:rPr>
          <w:sz w:val="26"/>
        </w:rPr>
        <w:t xml:space="preserve"> «</w:t>
      </w:r>
      <w:r w:rsidR="00A823F1">
        <w:rPr>
          <w:sz w:val="26"/>
        </w:rPr>
        <w:t>Тес-Хемский</w:t>
      </w:r>
      <w:r w:rsidR="00A823F1" w:rsidRPr="00822F19">
        <w:rPr>
          <w:sz w:val="26"/>
        </w:rPr>
        <w:t xml:space="preserve"> </w:t>
      </w:r>
      <w:r w:rsidR="00A823F1">
        <w:rPr>
          <w:sz w:val="26"/>
        </w:rPr>
        <w:t>кожуун</w:t>
      </w:r>
      <w:r w:rsidR="00A823F1" w:rsidRPr="00822F19">
        <w:rPr>
          <w:sz w:val="26"/>
        </w:rPr>
        <w:t xml:space="preserve">» –  </w:t>
      </w:r>
      <w:r w:rsidR="00084256">
        <w:rPr>
          <w:sz w:val="26"/>
        </w:rPr>
        <w:t>1</w:t>
      </w:r>
      <w:r w:rsidR="00975370">
        <w:rPr>
          <w:sz w:val="26"/>
        </w:rPr>
        <w:t>6140,9</w:t>
      </w:r>
      <w:r w:rsidR="00A823F1">
        <w:rPr>
          <w:sz w:val="26"/>
        </w:rPr>
        <w:t xml:space="preserve">  тыс. рублей</w:t>
      </w:r>
      <w:r w:rsidR="00FC7894">
        <w:rPr>
          <w:sz w:val="26"/>
        </w:rPr>
        <w:t>,</w:t>
      </w:r>
      <w:r w:rsidR="00FC7894" w:rsidRPr="00FC7894">
        <w:rPr>
          <w:sz w:val="26"/>
        </w:rPr>
        <w:t xml:space="preserve"> </w:t>
      </w:r>
      <w:r w:rsidR="00FC7894">
        <w:rPr>
          <w:sz w:val="26"/>
        </w:rPr>
        <w:t>по сравнению с аналогичным периодом 201</w:t>
      </w:r>
      <w:r w:rsidR="00975370">
        <w:rPr>
          <w:sz w:val="26"/>
        </w:rPr>
        <w:t>5</w:t>
      </w:r>
      <w:r w:rsidR="00FC7894">
        <w:rPr>
          <w:sz w:val="26"/>
        </w:rPr>
        <w:t xml:space="preserve"> года увеличились расходы на сумму </w:t>
      </w:r>
      <w:r w:rsidR="00975370">
        <w:rPr>
          <w:sz w:val="26"/>
        </w:rPr>
        <w:t>796,2</w:t>
      </w:r>
      <w:r w:rsidR="00FC7894">
        <w:rPr>
          <w:sz w:val="26"/>
        </w:rPr>
        <w:t xml:space="preserve"> тыс. рублей</w:t>
      </w:r>
      <w:r>
        <w:rPr>
          <w:sz w:val="26"/>
        </w:rPr>
        <w:t>.</w:t>
      </w:r>
      <w:r w:rsidR="00A16189">
        <w:rPr>
          <w:sz w:val="26"/>
        </w:rPr>
        <w:t xml:space="preserve"> На выплату заработной платы направлено 12631,2 тыс. рублей, что на 1382,4 тыс. рублей больше чем в 2015 году (11248,8 тыс. руб.). Это показывает, что имеются случаи «двойных» оплат во время отпуска, когда работники, получившие оплачиваемый отпуск одновременно отзываются и получают заработную плату.</w:t>
      </w:r>
      <w:r w:rsidR="00D07F3E">
        <w:rPr>
          <w:sz w:val="26"/>
        </w:rPr>
        <w:t xml:space="preserve"> На содержание аппарата выделено 3509,7 тыс. рублей и на 586,2 тыс. рублей меньше чем в 2015 году.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084256">
        <w:rPr>
          <w:sz w:val="26"/>
        </w:rPr>
        <w:t>3</w:t>
      </w:r>
      <w:r w:rsidR="00975370">
        <w:rPr>
          <w:sz w:val="26"/>
        </w:rPr>
        <w:t>57,1</w:t>
      </w:r>
      <w:r>
        <w:rPr>
          <w:sz w:val="26"/>
        </w:rPr>
        <w:t xml:space="preserve">    тыс. рублей</w:t>
      </w:r>
      <w:r w:rsidR="003A4829">
        <w:rPr>
          <w:sz w:val="26"/>
        </w:rPr>
        <w:t>, по ср</w:t>
      </w:r>
      <w:r w:rsidR="00FC7894">
        <w:rPr>
          <w:sz w:val="26"/>
        </w:rPr>
        <w:t xml:space="preserve">авнению с аналогичным периодом </w:t>
      </w:r>
      <w:r w:rsidR="004B3A52">
        <w:rPr>
          <w:sz w:val="26"/>
        </w:rPr>
        <w:t>наблюдается у</w:t>
      </w:r>
      <w:r w:rsidR="00084256">
        <w:rPr>
          <w:sz w:val="26"/>
        </w:rPr>
        <w:t>величен</w:t>
      </w:r>
      <w:r w:rsidR="004B3A52">
        <w:rPr>
          <w:sz w:val="26"/>
        </w:rPr>
        <w:t xml:space="preserve">ие </w:t>
      </w:r>
      <w:r w:rsidR="003A4829">
        <w:rPr>
          <w:sz w:val="26"/>
        </w:rPr>
        <w:t xml:space="preserve">на сумму </w:t>
      </w:r>
      <w:r w:rsidR="00975370">
        <w:rPr>
          <w:sz w:val="26"/>
        </w:rPr>
        <w:t>20,1</w:t>
      </w:r>
      <w:r w:rsidR="003A4829">
        <w:rPr>
          <w:sz w:val="26"/>
        </w:rPr>
        <w:t xml:space="preserve"> тыс. </w:t>
      </w:r>
      <w:r w:rsidR="003A4829">
        <w:rPr>
          <w:sz w:val="26"/>
        </w:rPr>
        <w:lastRenderedPageBreak/>
        <w:t>рублей.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>расходы за 201</w:t>
      </w:r>
      <w:r w:rsidR="000D4361">
        <w:rPr>
          <w:sz w:val="26"/>
          <w:szCs w:val="26"/>
        </w:rPr>
        <w:t>6</w:t>
      </w:r>
      <w:r w:rsidRPr="002F0ED6">
        <w:rPr>
          <w:sz w:val="26"/>
          <w:szCs w:val="26"/>
        </w:rPr>
        <w:t xml:space="preserve"> год составили </w:t>
      </w:r>
      <w:r w:rsidR="00084256">
        <w:rPr>
          <w:sz w:val="26"/>
          <w:szCs w:val="26"/>
        </w:rPr>
        <w:t>4</w:t>
      </w:r>
      <w:r w:rsidR="000D4361">
        <w:rPr>
          <w:sz w:val="26"/>
          <w:szCs w:val="26"/>
        </w:rPr>
        <w:t>50,7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A419EA">
        <w:rPr>
          <w:sz w:val="26"/>
          <w:szCs w:val="26"/>
        </w:rPr>
        <w:t>4</w:t>
      </w:r>
      <w:r w:rsidR="000D4361">
        <w:rPr>
          <w:sz w:val="26"/>
          <w:szCs w:val="26"/>
        </w:rPr>
        <w:t>34,1</w:t>
      </w:r>
      <w:r>
        <w:rPr>
          <w:sz w:val="26"/>
          <w:szCs w:val="26"/>
        </w:rPr>
        <w:t xml:space="preserve">  тыс. рублей</w:t>
      </w:r>
      <w:r w:rsidR="004B3A52">
        <w:rPr>
          <w:sz w:val="26"/>
          <w:szCs w:val="26"/>
        </w:rPr>
        <w:t xml:space="preserve">, </w:t>
      </w:r>
      <w:r w:rsidR="004B3A52" w:rsidRPr="004B3A52">
        <w:rPr>
          <w:sz w:val="26"/>
        </w:rPr>
        <w:t xml:space="preserve"> </w:t>
      </w:r>
      <w:r w:rsidR="004B3A52">
        <w:rPr>
          <w:sz w:val="26"/>
        </w:rPr>
        <w:t>по сравнению с аналогичным периодом наблюдается у</w:t>
      </w:r>
      <w:r w:rsidR="00A419EA">
        <w:rPr>
          <w:sz w:val="26"/>
        </w:rPr>
        <w:t>величе</w:t>
      </w:r>
      <w:r w:rsidR="004B3A52">
        <w:rPr>
          <w:sz w:val="26"/>
        </w:rPr>
        <w:t xml:space="preserve">ние на сумму </w:t>
      </w:r>
      <w:r w:rsidR="000D4361">
        <w:rPr>
          <w:sz w:val="26"/>
        </w:rPr>
        <w:t>31,7</w:t>
      </w:r>
      <w:r w:rsidR="004B3A52">
        <w:rPr>
          <w:sz w:val="26"/>
        </w:rPr>
        <w:t xml:space="preserve"> тыс. рублей</w:t>
      </w:r>
      <w:r w:rsidR="00B47C57">
        <w:rPr>
          <w:sz w:val="26"/>
          <w:szCs w:val="26"/>
        </w:rPr>
        <w:t>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>расходы за 201</w:t>
      </w:r>
      <w:r w:rsidR="005F624E">
        <w:rPr>
          <w:sz w:val="26"/>
          <w:szCs w:val="26"/>
        </w:rPr>
        <w:t>6</w:t>
      </w:r>
      <w:r w:rsidRPr="002F0ED6">
        <w:rPr>
          <w:sz w:val="26"/>
          <w:szCs w:val="26"/>
        </w:rPr>
        <w:t xml:space="preserve"> год составили </w:t>
      </w:r>
      <w:r w:rsidR="005F624E">
        <w:rPr>
          <w:sz w:val="26"/>
          <w:szCs w:val="26"/>
        </w:rPr>
        <w:t>1195,1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5F624E">
        <w:rPr>
          <w:sz w:val="26"/>
          <w:szCs w:val="26"/>
        </w:rPr>
        <w:t>1090,9</w:t>
      </w:r>
      <w:r>
        <w:rPr>
          <w:sz w:val="26"/>
          <w:szCs w:val="26"/>
        </w:rPr>
        <w:t xml:space="preserve">  тыс. рублей</w:t>
      </w:r>
      <w:r w:rsidR="001C70EF">
        <w:rPr>
          <w:sz w:val="26"/>
          <w:szCs w:val="26"/>
        </w:rPr>
        <w:t>,</w:t>
      </w:r>
      <w:r w:rsidR="004701A6">
        <w:rPr>
          <w:sz w:val="26"/>
          <w:szCs w:val="26"/>
        </w:rPr>
        <w:t xml:space="preserve"> </w:t>
      </w:r>
      <w:r w:rsidR="004701A6">
        <w:rPr>
          <w:sz w:val="26"/>
        </w:rPr>
        <w:t>по сравнению с аналогичным периодом 201</w:t>
      </w:r>
      <w:r w:rsidR="005F624E">
        <w:rPr>
          <w:sz w:val="26"/>
        </w:rPr>
        <w:t>5</w:t>
      </w:r>
      <w:r w:rsidR="004701A6">
        <w:rPr>
          <w:sz w:val="26"/>
        </w:rPr>
        <w:t xml:space="preserve"> года </w:t>
      </w:r>
      <w:r w:rsidR="00C8693D">
        <w:rPr>
          <w:sz w:val="26"/>
        </w:rPr>
        <w:t>у</w:t>
      </w:r>
      <w:r w:rsidR="005F624E">
        <w:rPr>
          <w:sz w:val="26"/>
        </w:rPr>
        <w:t>величи</w:t>
      </w:r>
      <w:r w:rsidR="00C8693D">
        <w:rPr>
          <w:sz w:val="26"/>
        </w:rPr>
        <w:t>лись</w:t>
      </w:r>
      <w:r w:rsidR="004701A6">
        <w:rPr>
          <w:sz w:val="26"/>
        </w:rPr>
        <w:t xml:space="preserve"> расходы на сумму </w:t>
      </w:r>
      <w:r w:rsidR="005F624E">
        <w:rPr>
          <w:sz w:val="26"/>
        </w:rPr>
        <w:t>438,9</w:t>
      </w:r>
      <w:r w:rsidR="004701A6">
        <w:rPr>
          <w:sz w:val="26"/>
        </w:rPr>
        <w:t xml:space="preserve"> тыс. рублей.</w:t>
      </w:r>
      <w:r w:rsidR="001C70EF">
        <w:rPr>
          <w:sz w:val="26"/>
          <w:szCs w:val="26"/>
        </w:rPr>
        <w:t xml:space="preserve"> 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2675F7">
        <w:rPr>
          <w:sz w:val="26"/>
          <w:szCs w:val="26"/>
        </w:rPr>
        <w:t>14</w:t>
      </w:r>
      <w:r w:rsidR="00C94096">
        <w:rPr>
          <w:sz w:val="26"/>
          <w:szCs w:val="26"/>
        </w:rPr>
        <w:t>611,6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 </w:t>
      </w:r>
      <w:proofErr w:type="gramStart"/>
      <w:r w:rsidRPr="008679A7">
        <w:rPr>
          <w:sz w:val="26"/>
          <w:szCs w:val="26"/>
        </w:rPr>
        <w:t>на</w:t>
      </w:r>
      <w:proofErr w:type="gramEnd"/>
      <w:r w:rsidRPr="008679A7">
        <w:rPr>
          <w:sz w:val="26"/>
          <w:szCs w:val="26"/>
        </w:rPr>
        <w:t xml:space="preserve">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2675F7">
        <w:rPr>
          <w:sz w:val="26"/>
          <w:szCs w:val="26"/>
        </w:rPr>
        <w:t>1798,6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</w:t>
      </w:r>
      <w:r w:rsidR="004701A6">
        <w:rPr>
          <w:sz w:val="26"/>
        </w:rPr>
        <w:t>авнению с аналогичным периодом произошло у</w:t>
      </w:r>
      <w:r w:rsidR="002675F7">
        <w:rPr>
          <w:sz w:val="26"/>
        </w:rPr>
        <w:t>величе</w:t>
      </w:r>
      <w:r w:rsidR="004701A6">
        <w:rPr>
          <w:sz w:val="26"/>
        </w:rPr>
        <w:t>ние</w:t>
      </w:r>
      <w:r w:rsidR="00D973B8">
        <w:rPr>
          <w:sz w:val="26"/>
        </w:rPr>
        <w:t xml:space="preserve"> на сумму </w:t>
      </w:r>
      <w:r w:rsidR="002675F7">
        <w:rPr>
          <w:sz w:val="26"/>
        </w:rPr>
        <w:t>245,6</w:t>
      </w:r>
      <w:r w:rsidR="00D973B8">
        <w:rPr>
          <w:sz w:val="26"/>
        </w:rPr>
        <w:t xml:space="preserve"> тыс. рублей</w:t>
      </w:r>
      <w:r w:rsidR="00F861C8">
        <w:rPr>
          <w:sz w:val="26"/>
        </w:rPr>
        <w:t>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</w:rPr>
      </w:pP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>
        <w:rPr>
          <w:sz w:val="26"/>
          <w:szCs w:val="26"/>
        </w:rPr>
        <w:t>201</w:t>
      </w:r>
      <w:r w:rsidR="00C94096">
        <w:rPr>
          <w:sz w:val="26"/>
          <w:szCs w:val="26"/>
        </w:rPr>
        <w:t>6</w:t>
      </w:r>
      <w:r w:rsidRPr="005532AE">
        <w:rPr>
          <w:sz w:val="26"/>
          <w:szCs w:val="26"/>
        </w:rPr>
        <w:t xml:space="preserve"> год составили </w:t>
      </w:r>
      <w:r w:rsidR="00C94096">
        <w:rPr>
          <w:sz w:val="26"/>
          <w:szCs w:val="26"/>
        </w:rPr>
        <w:t>280697,4</w:t>
      </w:r>
      <w:r w:rsidRPr="005532AE">
        <w:rPr>
          <w:sz w:val="26"/>
          <w:szCs w:val="26"/>
        </w:rPr>
        <w:t xml:space="preserve"> тыс. рублей, или </w:t>
      </w:r>
      <w:r w:rsidR="00C94096">
        <w:rPr>
          <w:sz w:val="26"/>
          <w:szCs w:val="26"/>
        </w:rPr>
        <w:t>98,7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уточненной годовой бюджетной росписи. Рост к соответствующему периоду прошлого года составил </w:t>
      </w:r>
      <w:r w:rsidR="00C94096">
        <w:rPr>
          <w:sz w:val="26"/>
          <w:szCs w:val="26"/>
        </w:rPr>
        <w:t>37848,1</w:t>
      </w:r>
      <w:r w:rsidRPr="005532AE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4701A6">
        <w:rPr>
          <w:sz w:val="26"/>
          <w:szCs w:val="26"/>
        </w:rPr>
        <w:t>20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дополнительного образования детей.</w:t>
      </w:r>
    </w:p>
    <w:p w:rsidR="005930D1" w:rsidRDefault="00F341D3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выплату заработной платы направлено в 2016 году 255757,2 тыс. рублей</w:t>
      </w:r>
      <w:r w:rsidR="00795B8E">
        <w:rPr>
          <w:sz w:val="26"/>
          <w:szCs w:val="26"/>
        </w:rPr>
        <w:t xml:space="preserve">, а в 2015 году </w:t>
      </w:r>
      <w:r w:rsidR="009C557D">
        <w:rPr>
          <w:sz w:val="26"/>
          <w:szCs w:val="26"/>
        </w:rPr>
        <w:t>–</w:t>
      </w:r>
      <w:r w:rsidR="00795B8E">
        <w:rPr>
          <w:sz w:val="26"/>
          <w:szCs w:val="26"/>
        </w:rPr>
        <w:t xml:space="preserve"> </w:t>
      </w:r>
      <w:r w:rsidR="009C557D">
        <w:rPr>
          <w:sz w:val="26"/>
          <w:szCs w:val="26"/>
        </w:rPr>
        <w:t>213514,2 тыс. рублей, соответственно в 2016 году расходы больше на 42243 тыс. рублей. По средней заработной плате по отчетным данным по форме ЗП-образование</w:t>
      </w:r>
      <w:r w:rsidR="005930D1">
        <w:rPr>
          <w:sz w:val="26"/>
          <w:szCs w:val="26"/>
        </w:rPr>
        <w:t xml:space="preserve"> в 2016 году:</w:t>
      </w:r>
    </w:p>
    <w:p w:rsidR="00F341D3" w:rsidRDefault="005930D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557D">
        <w:rPr>
          <w:sz w:val="26"/>
          <w:szCs w:val="26"/>
        </w:rPr>
        <w:t xml:space="preserve"> п</w:t>
      </w:r>
      <w:r>
        <w:rPr>
          <w:sz w:val="26"/>
          <w:szCs w:val="26"/>
        </w:rPr>
        <w:t>о педагогическим работникам дошкольных образовательных учреждений достигнуто индикативных показателей  18232 рублей;</w:t>
      </w:r>
    </w:p>
    <w:p w:rsidR="005930D1" w:rsidRDefault="005930D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5930D1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педагогическим работникам общих образовательных учреждений индикатор достиг 26397 рублей;</w:t>
      </w:r>
    </w:p>
    <w:p w:rsidR="005930D1" w:rsidRPr="005532AE" w:rsidRDefault="005930D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30D1">
        <w:rPr>
          <w:sz w:val="26"/>
          <w:szCs w:val="26"/>
        </w:rPr>
        <w:t>по педагогическим работникам</w:t>
      </w:r>
      <w:r>
        <w:rPr>
          <w:sz w:val="26"/>
          <w:szCs w:val="26"/>
        </w:rPr>
        <w:t xml:space="preserve"> дополнительного образования детей индикатор достиг 28399 рублей.</w:t>
      </w:r>
    </w:p>
    <w:p w:rsidR="00A823F1" w:rsidRPr="00EA18A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814189">
        <w:rPr>
          <w:sz w:val="26"/>
          <w:szCs w:val="26"/>
        </w:rPr>
        <w:t>5972,8</w:t>
      </w:r>
      <w:r w:rsidRPr="00EA18A9">
        <w:rPr>
          <w:sz w:val="26"/>
          <w:szCs w:val="26"/>
        </w:rPr>
        <w:t xml:space="preserve">  тыс. рублей.</w:t>
      </w:r>
      <w:r w:rsidR="00814189">
        <w:rPr>
          <w:sz w:val="26"/>
          <w:szCs w:val="26"/>
        </w:rPr>
        <w:t xml:space="preserve"> Из них на выплату заработной платы с начислениями направлено 5370,2 тыс. рублей, что больше на 633,8 тыс. </w:t>
      </w:r>
      <w:proofErr w:type="gramStart"/>
      <w:r w:rsidR="00814189">
        <w:rPr>
          <w:sz w:val="26"/>
          <w:szCs w:val="26"/>
        </w:rPr>
        <w:t>рублей</w:t>
      </w:r>
      <w:proofErr w:type="gramEnd"/>
      <w:r w:rsidR="00814189">
        <w:rPr>
          <w:sz w:val="26"/>
          <w:szCs w:val="26"/>
        </w:rPr>
        <w:t xml:space="preserve"> чем в 2015 году.</w:t>
      </w:r>
    </w:p>
    <w:p w:rsidR="00A823F1" w:rsidRPr="005532AE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За счет субвенции на реализацию основных общеобразовательных программ в общеобразовательных учреждениях</w:t>
      </w:r>
      <w:r w:rsidRPr="005E41DC">
        <w:rPr>
          <w:sz w:val="26"/>
          <w:szCs w:val="26"/>
        </w:rPr>
        <w:t xml:space="preserve"> </w:t>
      </w:r>
      <w:r>
        <w:rPr>
          <w:sz w:val="26"/>
          <w:szCs w:val="26"/>
        </w:rPr>
        <w:t>и дошкольное образование</w:t>
      </w:r>
      <w:r w:rsidRPr="005532AE">
        <w:rPr>
          <w:sz w:val="26"/>
          <w:szCs w:val="26"/>
        </w:rPr>
        <w:t xml:space="preserve"> предоставляемой из </w:t>
      </w:r>
      <w:r>
        <w:rPr>
          <w:sz w:val="26"/>
          <w:szCs w:val="26"/>
        </w:rPr>
        <w:t>р</w:t>
      </w:r>
      <w:r w:rsidR="00F861C8">
        <w:rPr>
          <w:sz w:val="26"/>
          <w:szCs w:val="26"/>
        </w:rPr>
        <w:t>еспубликанско</w:t>
      </w:r>
      <w:r>
        <w:rPr>
          <w:sz w:val="26"/>
          <w:szCs w:val="26"/>
        </w:rPr>
        <w:t>го</w:t>
      </w:r>
      <w:r w:rsidRPr="005532AE">
        <w:rPr>
          <w:sz w:val="26"/>
          <w:szCs w:val="26"/>
        </w:rPr>
        <w:t xml:space="preserve"> бюджета, за отчетный период профинансировано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14189">
        <w:rPr>
          <w:sz w:val="26"/>
          <w:szCs w:val="26"/>
        </w:rPr>
        <w:t>206812</w:t>
      </w:r>
      <w:r>
        <w:rPr>
          <w:sz w:val="26"/>
          <w:szCs w:val="26"/>
        </w:rPr>
        <w:t xml:space="preserve">   тыс. рублей. </w:t>
      </w:r>
      <w:r w:rsidRPr="005532AE">
        <w:rPr>
          <w:sz w:val="26"/>
          <w:szCs w:val="26"/>
        </w:rPr>
        <w:t xml:space="preserve"> </w:t>
      </w:r>
    </w:p>
    <w:p w:rsidR="00A823F1" w:rsidRPr="00930602" w:rsidRDefault="00A823F1" w:rsidP="00A823F1">
      <w:pPr>
        <w:keepNext/>
        <w:widowControl w:val="0"/>
        <w:ind w:firstLine="540"/>
        <w:jc w:val="both"/>
        <w:rPr>
          <w:sz w:val="26"/>
          <w:szCs w:val="26"/>
        </w:rPr>
      </w:pPr>
    </w:p>
    <w:p w:rsidR="00A823F1" w:rsidRPr="00FD3FE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7B4FAB">
        <w:rPr>
          <w:sz w:val="26"/>
          <w:szCs w:val="26"/>
        </w:rPr>
        <w:t>36106,8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тыс. рублей, или </w:t>
      </w:r>
      <w:r w:rsidR="007B4FAB">
        <w:rPr>
          <w:sz w:val="26"/>
          <w:szCs w:val="26"/>
        </w:rPr>
        <w:t>99,2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уточненной годовой бюджетной росписи</w:t>
      </w:r>
      <w:r w:rsidR="006D0998">
        <w:rPr>
          <w:sz w:val="26"/>
          <w:szCs w:val="26"/>
        </w:rPr>
        <w:t>, по сравнению с 201</w:t>
      </w:r>
      <w:r w:rsidR="007B4FAB">
        <w:rPr>
          <w:sz w:val="26"/>
          <w:szCs w:val="26"/>
        </w:rPr>
        <w:t>5</w:t>
      </w:r>
      <w:r w:rsidR="006D0998">
        <w:rPr>
          <w:sz w:val="26"/>
          <w:szCs w:val="26"/>
        </w:rPr>
        <w:t xml:space="preserve"> годом наблюдаетс</w:t>
      </w:r>
      <w:r w:rsidR="000509E2">
        <w:rPr>
          <w:sz w:val="26"/>
          <w:szCs w:val="26"/>
        </w:rPr>
        <w:t>я у</w:t>
      </w:r>
      <w:r w:rsidR="007B4FAB">
        <w:rPr>
          <w:sz w:val="26"/>
          <w:szCs w:val="26"/>
        </w:rPr>
        <w:t>величе</w:t>
      </w:r>
      <w:r w:rsidR="000509E2">
        <w:rPr>
          <w:sz w:val="26"/>
          <w:szCs w:val="26"/>
        </w:rPr>
        <w:t xml:space="preserve">ние расходов на сумму </w:t>
      </w:r>
      <w:r w:rsidR="007B4FAB">
        <w:rPr>
          <w:sz w:val="26"/>
          <w:szCs w:val="26"/>
        </w:rPr>
        <w:t>7319</w:t>
      </w:r>
      <w:r w:rsidR="006D0998">
        <w:rPr>
          <w:sz w:val="26"/>
          <w:szCs w:val="26"/>
        </w:rPr>
        <w:t xml:space="preserve"> тыс. рублей</w:t>
      </w:r>
      <w:r w:rsidRPr="00FD3FE2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</w:rPr>
      </w:pPr>
      <w:r w:rsidRPr="00FD3FE2">
        <w:rPr>
          <w:sz w:val="26"/>
        </w:rPr>
        <w:t xml:space="preserve">Основную долю расходов в структуре данного подраздела составляют расходы на содержание  </w:t>
      </w:r>
      <w:r>
        <w:rPr>
          <w:sz w:val="26"/>
        </w:rPr>
        <w:t xml:space="preserve">сельских домов культуры    </w:t>
      </w:r>
      <w:r w:rsidRPr="00FD3FE2">
        <w:rPr>
          <w:sz w:val="26"/>
        </w:rPr>
        <w:t xml:space="preserve"> - </w:t>
      </w:r>
      <w:r w:rsidR="007B4FAB">
        <w:rPr>
          <w:sz w:val="26"/>
        </w:rPr>
        <w:t>11692,7</w:t>
      </w:r>
      <w:r>
        <w:rPr>
          <w:sz w:val="26"/>
        </w:rPr>
        <w:t xml:space="preserve"> </w:t>
      </w:r>
      <w:r w:rsidRPr="00FD3FE2">
        <w:rPr>
          <w:sz w:val="26"/>
        </w:rPr>
        <w:t xml:space="preserve"> тыс. рублей.</w:t>
      </w:r>
    </w:p>
    <w:p w:rsidR="007B4FAB" w:rsidRDefault="007B4FAB" w:rsidP="00A823F1">
      <w:pPr>
        <w:keepNext/>
        <w:widowControl w:val="0"/>
        <w:ind w:firstLine="720"/>
        <w:jc w:val="both"/>
        <w:rPr>
          <w:sz w:val="26"/>
        </w:rPr>
      </w:pPr>
    </w:p>
    <w:p w:rsidR="00A823F1" w:rsidRPr="007B4FAB" w:rsidRDefault="007B4FAB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7B4FAB">
        <w:rPr>
          <w:sz w:val="26"/>
          <w:szCs w:val="26"/>
        </w:rPr>
        <w:t xml:space="preserve">На выплату заработной платы </w:t>
      </w:r>
      <w:r w:rsidR="00BF5FBE">
        <w:rPr>
          <w:sz w:val="26"/>
          <w:szCs w:val="26"/>
        </w:rPr>
        <w:t xml:space="preserve">работникам культуры </w:t>
      </w:r>
      <w:r w:rsidRPr="007B4FAB">
        <w:rPr>
          <w:sz w:val="26"/>
          <w:szCs w:val="26"/>
        </w:rPr>
        <w:t xml:space="preserve">направлено в 2016 году </w:t>
      </w:r>
      <w:r>
        <w:rPr>
          <w:sz w:val="26"/>
          <w:szCs w:val="26"/>
        </w:rPr>
        <w:t>22582,3</w:t>
      </w:r>
      <w:r w:rsidRPr="007B4FAB">
        <w:rPr>
          <w:sz w:val="26"/>
          <w:szCs w:val="26"/>
        </w:rPr>
        <w:t xml:space="preserve"> тыс. рублей, а в 2015 году – </w:t>
      </w:r>
      <w:r w:rsidR="006E68D9">
        <w:rPr>
          <w:sz w:val="26"/>
          <w:szCs w:val="26"/>
        </w:rPr>
        <w:t>252</w:t>
      </w:r>
      <w:r w:rsidR="00B21913">
        <w:rPr>
          <w:sz w:val="26"/>
          <w:szCs w:val="26"/>
        </w:rPr>
        <w:t>80</w:t>
      </w:r>
      <w:r w:rsidRPr="007B4FAB">
        <w:rPr>
          <w:sz w:val="26"/>
          <w:szCs w:val="26"/>
        </w:rPr>
        <w:t xml:space="preserve"> тыс. рублей, расходы</w:t>
      </w:r>
      <w:r w:rsidR="00BF5FBE">
        <w:rPr>
          <w:sz w:val="26"/>
          <w:szCs w:val="26"/>
        </w:rPr>
        <w:t xml:space="preserve"> стало</w:t>
      </w:r>
      <w:r w:rsidRPr="007B4FAB">
        <w:rPr>
          <w:sz w:val="26"/>
          <w:szCs w:val="26"/>
        </w:rPr>
        <w:t xml:space="preserve"> </w:t>
      </w:r>
      <w:r w:rsidR="006E68D9">
        <w:rPr>
          <w:sz w:val="26"/>
          <w:szCs w:val="26"/>
        </w:rPr>
        <w:t>мен</w:t>
      </w:r>
      <w:r w:rsidRPr="007B4FAB">
        <w:rPr>
          <w:sz w:val="26"/>
          <w:szCs w:val="26"/>
        </w:rPr>
        <w:t xml:space="preserve">ьше на </w:t>
      </w:r>
      <w:r w:rsidR="006E68D9">
        <w:rPr>
          <w:sz w:val="26"/>
          <w:szCs w:val="26"/>
        </w:rPr>
        <w:t>269</w:t>
      </w:r>
      <w:r w:rsidR="00B21913">
        <w:rPr>
          <w:sz w:val="26"/>
          <w:szCs w:val="26"/>
        </w:rPr>
        <w:t>7</w:t>
      </w:r>
      <w:r w:rsidR="006E68D9">
        <w:rPr>
          <w:sz w:val="26"/>
          <w:szCs w:val="26"/>
        </w:rPr>
        <w:t>,7</w:t>
      </w:r>
      <w:r w:rsidRPr="007B4FAB">
        <w:rPr>
          <w:sz w:val="26"/>
          <w:szCs w:val="26"/>
        </w:rPr>
        <w:t xml:space="preserve"> </w:t>
      </w:r>
      <w:r w:rsidRPr="007B4FAB">
        <w:rPr>
          <w:sz w:val="26"/>
          <w:szCs w:val="26"/>
        </w:rPr>
        <w:lastRenderedPageBreak/>
        <w:t xml:space="preserve">тыс. рублей. </w:t>
      </w:r>
      <w:r w:rsidR="00A823F1" w:rsidRPr="007B4FAB">
        <w:rPr>
          <w:sz w:val="26"/>
          <w:szCs w:val="26"/>
        </w:rPr>
        <w:t xml:space="preserve">                            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по разделу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B81CC0">
        <w:rPr>
          <w:sz w:val="26"/>
          <w:szCs w:val="26"/>
        </w:rPr>
        <w:t>5</w:t>
      </w:r>
      <w:r w:rsidR="001E1400">
        <w:rPr>
          <w:sz w:val="26"/>
          <w:szCs w:val="26"/>
        </w:rPr>
        <w:t>2</w:t>
      </w:r>
      <w:r w:rsidR="00B81CC0">
        <w:rPr>
          <w:sz w:val="26"/>
          <w:szCs w:val="26"/>
        </w:rPr>
        <w:t>432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B81CC0">
        <w:rPr>
          <w:sz w:val="26"/>
          <w:szCs w:val="26"/>
        </w:rPr>
        <w:t>99,9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уточненной годовой бюджетной росписи</w:t>
      </w:r>
      <w:r w:rsidR="00CF4111">
        <w:rPr>
          <w:sz w:val="26"/>
          <w:szCs w:val="26"/>
        </w:rPr>
        <w:t>, по сравнению с аналогичным периодом 201</w:t>
      </w:r>
      <w:r w:rsidR="00B81CC0">
        <w:rPr>
          <w:sz w:val="26"/>
          <w:szCs w:val="26"/>
        </w:rPr>
        <w:t>5</w:t>
      </w:r>
      <w:r w:rsidR="00CF4111">
        <w:rPr>
          <w:sz w:val="26"/>
          <w:szCs w:val="26"/>
        </w:rPr>
        <w:t xml:space="preserve"> года произошло </w:t>
      </w:r>
      <w:r w:rsidR="00B81CC0">
        <w:rPr>
          <w:sz w:val="26"/>
          <w:szCs w:val="26"/>
        </w:rPr>
        <w:t>снижен</w:t>
      </w:r>
      <w:r w:rsidR="00CF4111">
        <w:rPr>
          <w:sz w:val="26"/>
          <w:szCs w:val="26"/>
        </w:rPr>
        <w:t xml:space="preserve">ие на сумму </w:t>
      </w:r>
      <w:r w:rsidR="00B81CC0">
        <w:rPr>
          <w:sz w:val="26"/>
          <w:szCs w:val="26"/>
        </w:rPr>
        <w:t>1640</w:t>
      </w:r>
      <w:r w:rsidR="00CF4111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1E1400">
        <w:rPr>
          <w:sz w:val="26"/>
          <w:szCs w:val="26"/>
        </w:rPr>
        <w:t>6744</w:t>
      </w:r>
      <w:r>
        <w:rPr>
          <w:sz w:val="26"/>
          <w:szCs w:val="26"/>
        </w:rPr>
        <w:t xml:space="preserve">  тыс. </w:t>
      </w:r>
      <w:r w:rsidR="00F861C8">
        <w:rPr>
          <w:sz w:val="26"/>
          <w:szCs w:val="26"/>
        </w:rPr>
        <w:t xml:space="preserve"> рублей;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-выплата  соци</w:t>
      </w:r>
      <w:r w:rsidR="001E1400">
        <w:rPr>
          <w:sz w:val="26"/>
          <w:szCs w:val="26"/>
        </w:rPr>
        <w:t>ального пособия на погребение -</w:t>
      </w:r>
      <w:r w:rsidR="00B81CC0">
        <w:rPr>
          <w:sz w:val="26"/>
          <w:szCs w:val="26"/>
        </w:rPr>
        <w:t xml:space="preserve"> 160</w:t>
      </w:r>
      <w:r w:rsidR="00CF4111">
        <w:rPr>
          <w:sz w:val="26"/>
          <w:szCs w:val="26"/>
        </w:rPr>
        <w:t xml:space="preserve">  тыс. рублей;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на оплату жилищно-коммунальных услуг отдельным категориям граждан </w:t>
      </w:r>
      <w:r w:rsidR="00B81CC0">
        <w:rPr>
          <w:sz w:val="26"/>
          <w:szCs w:val="26"/>
        </w:rPr>
        <w:t>– 3905,6</w:t>
      </w:r>
      <w:r>
        <w:rPr>
          <w:sz w:val="26"/>
          <w:szCs w:val="26"/>
        </w:rPr>
        <w:t xml:space="preserve">  тыс. рублей</w:t>
      </w:r>
      <w:r w:rsidR="00CF4111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 на ежемесячное пособие на ребенка </w:t>
      </w:r>
      <w:r w:rsidR="00F861C8">
        <w:rPr>
          <w:sz w:val="26"/>
          <w:szCs w:val="26"/>
        </w:rPr>
        <w:t xml:space="preserve">– </w:t>
      </w:r>
      <w:r w:rsidR="001E1400">
        <w:rPr>
          <w:sz w:val="26"/>
          <w:szCs w:val="26"/>
        </w:rPr>
        <w:t>7</w:t>
      </w:r>
      <w:r w:rsidR="00E52C3B">
        <w:rPr>
          <w:sz w:val="26"/>
          <w:szCs w:val="26"/>
        </w:rPr>
        <w:t>236,1</w:t>
      </w:r>
      <w:r>
        <w:rPr>
          <w:sz w:val="26"/>
          <w:szCs w:val="26"/>
        </w:rPr>
        <w:t xml:space="preserve">  тыс. рублей</w:t>
      </w:r>
      <w:r w:rsidR="00CF41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-выплата на оплату ветеранам труда и труженикам тыла – </w:t>
      </w:r>
      <w:r w:rsidR="00E52C3B">
        <w:rPr>
          <w:sz w:val="26"/>
          <w:szCs w:val="26"/>
        </w:rPr>
        <w:t>3023,4</w:t>
      </w:r>
      <w:r>
        <w:rPr>
          <w:sz w:val="26"/>
          <w:szCs w:val="26"/>
        </w:rPr>
        <w:t xml:space="preserve">  тыс. рублей</w:t>
      </w:r>
      <w:r w:rsidR="00CF4111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-выплата  ежемесячного пособия по уходу за ребенком до полутора лет неработающим гражданам и единовременного пособия  при рождении ребен</w:t>
      </w:r>
      <w:r w:rsidR="00533165">
        <w:rPr>
          <w:sz w:val="26"/>
          <w:szCs w:val="26"/>
        </w:rPr>
        <w:t xml:space="preserve">ка неработающим гражданам    - </w:t>
      </w:r>
      <w:r w:rsidR="001E1400">
        <w:rPr>
          <w:sz w:val="26"/>
          <w:szCs w:val="26"/>
        </w:rPr>
        <w:t>24</w:t>
      </w:r>
      <w:r w:rsidR="00E52C3B">
        <w:rPr>
          <w:sz w:val="26"/>
          <w:szCs w:val="26"/>
        </w:rPr>
        <w:t>373,2</w:t>
      </w:r>
      <w:r>
        <w:rPr>
          <w:sz w:val="26"/>
          <w:szCs w:val="26"/>
        </w:rPr>
        <w:t xml:space="preserve">  тыс. рублей.</w:t>
      </w:r>
    </w:p>
    <w:p w:rsidR="00CF4111" w:rsidRDefault="00CF4111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</w:t>
      </w:r>
      <w:r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, осуществляющих управленческие функции в сфере </w:t>
      </w:r>
      <w:r>
        <w:rPr>
          <w:sz w:val="26"/>
          <w:szCs w:val="26"/>
        </w:rPr>
        <w:t xml:space="preserve">социальной политики </w:t>
      </w:r>
      <w:r w:rsidRPr="005532AE">
        <w:rPr>
          <w:sz w:val="26"/>
          <w:szCs w:val="26"/>
        </w:rPr>
        <w:t xml:space="preserve"> в отчетном периоде </w:t>
      </w:r>
      <w:r w:rsidRPr="00EA18A9">
        <w:rPr>
          <w:sz w:val="26"/>
          <w:szCs w:val="26"/>
        </w:rPr>
        <w:t xml:space="preserve">было </w:t>
      </w:r>
      <w:r>
        <w:rPr>
          <w:sz w:val="26"/>
          <w:szCs w:val="26"/>
        </w:rPr>
        <w:t xml:space="preserve">выделено </w:t>
      </w:r>
      <w:r w:rsidR="00E52C3B">
        <w:rPr>
          <w:sz w:val="26"/>
          <w:szCs w:val="26"/>
        </w:rPr>
        <w:t>3318,7</w:t>
      </w:r>
      <w:r w:rsidRPr="00EA18A9">
        <w:rPr>
          <w:sz w:val="26"/>
          <w:szCs w:val="26"/>
        </w:rPr>
        <w:t xml:space="preserve">  тыс. рублей</w:t>
      </w:r>
      <w:r>
        <w:rPr>
          <w:sz w:val="26"/>
          <w:szCs w:val="26"/>
        </w:rPr>
        <w:t xml:space="preserve">, а по сравнению с соответствующим периодом прошлого года </w:t>
      </w:r>
      <w:r w:rsidR="00E52C3B">
        <w:rPr>
          <w:sz w:val="26"/>
          <w:szCs w:val="26"/>
        </w:rPr>
        <w:t>снизи</w:t>
      </w:r>
      <w:r w:rsidR="00E912AD">
        <w:rPr>
          <w:sz w:val="26"/>
          <w:szCs w:val="26"/>
        </w:rPr>
        <w:t xml:space="preserve">лись расходы на сумму </w:t>
      </w:r>
      <w:r w:rsidR="00E52C3B">
        <w:rPr>
          <w:sz w:val="26"/>
          <w:szCs w:val="26"/>
        </w:rPr>
        <w:t>273,9</w:t>
      </w:r>
      <w:r w:rsidR="00E912AD">
        <w:rPr>
          <w:sz w:val="26"/>
          <w:szCs w:val="26"/>
        </w:rPr>
        <w:t xml:space="preserve"> тыс. рублей.</w:t>
      </w:r>
    </w:p>
    <w:p w:rsidR="00984A65" w:rsidRDefault="00984A65"/>
    <w:sectPr w:rsidR="00984A65" w:rsidSect="0086433C"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07A2"/>
    <w:rsid w:val="000134DF"/>
    <w:rsid w:val="00017781"/>
    <w:rsid w:val="00037DCB"/>
    <w:rsid w:val="00047B1E"/>
    <w:rsid w:val="000509E2"/>
    <w:rsid w:val="00056BEC"/>
    <w:rsid w:val="00081A07"/>
    <w:rsid w:val="00083D77"/>
    <w:rsid w:val="00084256"/>
    <w:rsid w:val="00093A8C"/>
    <w:rsid w:val="000943BB"/>
    <w:rsid w:val="00097C55"/>
    <w:rsid w:val="000C1169"/>
    <w:rsid w:val="000D4361"/>
    <w:rsid w:val="000D77F3"/>
    <w:rsid w:val="000E4E52"/>
    <w:rsid w:val="000F6DDC"/>
    <w:rsid w:val="0010416A"/>
    <w:rsid w:val="00122EC5"/>
    <w:rsid w:val="00144D30"/>
    <w:rsid w:val="001747EB"/>
    <w:rsid w:val="001A42F0"/>
    <w:rsid w:val="001B7AC9"/>
    <w:rsid w:val="001C70EF"/>
    <w:rsid w:val="001D47E5"/>
    <w:rsid w:val="001D5F8F"/>
    <w:rsid w:val="001D7621"/>
    <w:rsid w:val="001E1400"/>
    <w:rsid w:val="00210D71"/>
    <w:rsid w:val="002118FB"/>
    <w:rsid w:val="002128BD"/>
    <w:rsid w:val="0021647F"/>
    <w:rsid w:val="00233EA3"/>
    <w:rsid w:val="00260C72"/>
    <w:rsid w:val="002675F7"/>
    <w:rsid w:val="002736B3"/>
    <w:rsid w:val="002D3943"/>
    <w:rsid w:val="002E7F8C"/>
    <w:rsid w:val="00323E60"/>
    <w:rsid w:val="00357C6A"/>
    <w:rsid w:val="003A4015"/>
    <w:rsid w:val="003A4829"/>
    <w:rsid w:val="003C1F18"/>
    <w:rsid w:val="003C612F"/>
    <w:rsid w:val="004139F6"/>
    <w:rsid w:val="00420EDB"/>
    <w:rsid w:val="00425F14"/>
    <w:rsid w:val="00462BCE"/>
    <w:rsid w:val="004701A6"/>
    <w:rsid w:val="00484E17"/>
    <w:rsid w:val="004A4E8D"/>
    <w:rsid w:val="004B07FF"/>
    <w:rsid w:val="004B3A52"/>
    <w:rsid w:val="004C4685"/>
    <w:rsid w:val="004C6C49"/>
    <w:rsid w:val="00501F2A"/>
    <w:rsid w:val="005262B4"/>
    <w:rsid w:val="0053261B"/>
    <w:rsid w:val="00533165"/>
    <w:rsid w:val="00544EFA"/>
    <w:rsid w:val="00591799"/>
    <w:rsid w:val="005930D1"/>
    <w:rsid w:val="00593A6B"/>
    <w:rsid w:val="005A1975"/>
    <w:rsid w:val="005C5756"/>
    <w:rsid w:val="005D1527"/>
    <w:rsid w:val="005E142F"/>
    <w:rsid w:val="005F624E"/>
    <w:rsid w:val="00637374"/>
    <w:rsid w:val="00640E44"/>
    <w:rsid w:val="00642D6E"/>
    <w:rsid w:val="006654EA"/>
    <w:rsid w:val="00685B79"/>
    <w:rsid w:val="006A014B"/>
    <w:rsid w:val="006A4E80"/>
    <w:rsid w:val="006B45F9"/>
    <w:rsid w:val="006B5269"/>
    <w:rsid w:val="006D0998"/>
    <w:rsid w:val="006D3039"/>
    <w:rsid w:val="006D66B4"/>
    <w:rsid w:val="006E68D9"/>
    <w:rsid w:val="00720AC7"/>
    <w:rsid w:val="007317F5"/>
    <w:rsid w:val="00737A57"/>
    <w:rsid w:val="00740571"/>
    <w:rsid w:val="00742969"/>
    <w:rsid w:val="0075063C"/>
    <w:rsid w:val="00761AD7"/>
    <w:rsid w:val="00762E13"/>
    <w:rsid w:val="00771A2F"/>
    <w:rsid w:val="007757AA"/>
    <w:rsid w:val="00792093"/>
    <w:rsid w:val="00795B8E"/>
    <w:rsid w:val="007B4FAB"/>
    <w:rsid w:val="007C404C"/>
    <w:rsid w:val="007C55A6"/>
    <w:rsid w:val="007C61CD"/>
    <w:rsid w:val="00814189"/>
    <w:rsid w:val="00822040"/>
    <w:rsid w:val="008220FD"/>
    <w:rsid w:val="0082764F"/>
    <w:rsid w:val="008445F8"/>
    <w:rsid w:val="0086433C"/>
    <w:rsid w:val="00880989"/>
    <w:rsid w:val="008967C8"/>
    <w:rsid w:val="008C25F2"/>
    <w:rsid w:val="008C55B1"/>
    <w:rsid w:val="008D5517"/>
    <w:rsid w:val="00952E51"/>
    <w:rsid w:val="00970BF2"/>
    <w:rsid w:val="00975370"/>
    <w:rsid w:val="00983708"/>
    <w:rsid w:val="00984A65"/>
    <w:rsid w:val="00997C3F"/>
    <w:rsid w:val="009C557D"/>
    <w:rsid w:val="009C7223"/>
    <w:rsid w:val="00A03417"/>
    <w:rsid w:val="00A16189"/>
    <w:rsid w:val="00A30F0D"/>
    <w:rsid w:val="00A419EA"/>
    <w:rsid w:val="00A47931"/>
    <w:rsid w:val="00A56B41"/>
    <w:rsid w:val="00A77537"/>
    <w:rsid w:val="00A823F1"/>
    <w:rsid w:val="00AA0860"/>
    <w:rsid w:val="00AA6B87"/>
    <w:rsid w:val="00AF7F6B"/>
    <w:rsid w:val="00B06E5A"/>
    <w:rsid w:val="00B21913"/>
    <w:rsid w:val="00B436E4"/>
    <w:rsid w:val="00B47C57"/>
    <w:rsid w:val="00B6151B"/>
    <w:rsid w:val="00B75C7E"/>
    <w:rsid w:val="00B81CC0"/>
    <w:rsid w:val="00BA1C26"/>
    <w:rsid w:val="00BD187F"/>
    <w:rsid w:val="00BF5FBE"/>
    <w:rsid w:val="00BF70D0"/>
    <w:rsid w:val="00C00DBB"/>
    <w:rsid w:val="00C15FAD"/>
    <w:rsid w:val="00C224FA"/>
    <w:rsid w:val="00C35450"/>
    <w:rsid w:val="00C5419E"/>
    <w:rsid w:val="00C56028"/>
    <w:rsid w:val="00C57CC6"/>
    <w:rsid w:val="00C75C7A"/>
    <w:rsid w:val="00C766C1"/>
    <w:rsid w:val="00C8693D"/>
    <w:rsid w:val="00C94096"/>
    <w:rsid w:val="00C9676C"/>
    <w:rsid w:val="00CA69E3"/>
    <w:rsid w:val="00CB3B12"/>
    <w:rsid w:val="00CE3D92"/>
    <w:rsid w:val="00CF4111"/>
    <w:rsid w:val="00D07F3E"/>
    <w:rsid w:val="00D167D0"/>
    <w:rsid w:val="00D45C3D"/>
    <w:rsid w:val="00D622D9"/>
    <w:rsid w:val="00D639C8"/>
    <w:rsid w:val="00D651C1"/>
    <w:rsid w:val="00D973B8"/>
    <w:rsid w:val="00E021D2"/>
    <w:rsid w:val="00E11E63"/>
    <w:rsid w:val="00E35B5B"/>
    <w:rsid w:val="00E40F43"/>
    <w:rsid w:val="00E431D1"/>
    <w:rsid w:val="00E462FE"/>
    <w:rsid w:val="00E52C3B"/>
    <w:rsid w:val="00E639EE"/>
    <w:rsid w:val="00E74A71"/>
    <w:rsid w:val="00E912AD"/>
    <w:rsid w:val="00EA18A9"/>
    <w:rsid w:val="00ED02AC"/>
    <w:rsid w:val="00ED07CA"/>
    <w:rsid w:val="00EE2495"/>
    <w:rsid w:val="00EF6D95"/>
    <w:rsid w:val="00F14FD2"/>
    <w:rsid w:val="00F30CED"/>
    <w:rsid w:val="00F341D3"/>
    <w:rsid w:val="00F42921"/>
    <w:rsid w:val="00F473FB"/>
    <w:rsid w:val="00F55431"/>
    <w:rsid w:val="00F81BF4"/>
    <w:rsid w:val="00F861C8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A2F5-4AC5-453A-A245-71EF7622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2015-04-20T01:50:00Z</cp:lastPrinted>
  <dcterms:created xsi:type="dcterms:W3CDTF">2015-04-17T08:33:00Z</dcterms:created>
  <dcterms:modified xsi:type="dcterms:W3CDTF">2017-03-15T10:35:00Z</dcterms:modified>
</cp:coreProperties>
</file>